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483235</wp:posOffset>
            </wp:positionH>
            <wp:positionV relativeFrom="page">
              <wp:posOffset>646430</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560705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5"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Form 8-K</w:t>
      </w:r>
    </w:p>
    <w:p>
      <w:pPr>
        <w:spacing w:after="0" w:line="105"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19, 2020</w:t>
      </w:r>
    </w:p>
    <w:p>
      <w:pPr>
        <w:spacing w:after="0" w:line="134"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Science Applications International Corporation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8"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80" w:lineRule="exact"/>
        <w:rPr>
          <w:sz w:val="24"/>
          <w:szCs w:val="24"/>
          <w:color w:val="auto"/>
        </w:rPr>
      </w:pPr>
    </w:p>
    <w:tbl>
      <w:tblPr>
        <w:tblLayout w:type="fixed"/>
        <w:tblInd w:w="1180" w:type="dxa"/>
        <w:tblCellMar>
          <w:top w:w="0" w:type="dxa"/>
          <w:left w:w="0" w:type="dxa"/>
          <w:bottom w:w="0" w:type="dxa"/>
          <w:right w:w="0" w:type="dxa"/>
        </w:tblCellMar>
      </w:tblPr>
      <w:tr>
        <w:trPr>
          <w:trHeight w:val="217"/>
        </w:trPr>
        <w:tc>
          <w:tcPr>
            <w:tcW w:w="2120" w:type="dxa"/>
            <w:vAlign w:val="bottom"/>
          </w:tcPr>
          <w:p>
            <w:pPr>
              <w:jc w:val="center"/>
              <w:ind w:right="202"/>
              <w:spacing w:after="0"/>
              <w:rPr>
                <w:sz w:val="20"/>
                <w:szCs w:val="20"/>
                <w:color w:val="auto"/>
              </w:rPr>
            </w:pPr>
            <w:r>
              <w:rPr>
                <w:rFonts w:ascii="Arial" w:cs="Arial" w:eastAsia="Arial" w:hAnsi="Arial"/>
                <w:sz w:val="18"/>
                <w:szCs w:val="18"/>
                <w:color w:val="auto"/>
                <w:w w:val="99"/>
              </w:rPr>
              <w:t>Delaware</w:t>
            </w:r>
          </w:p>
        </w:tc>
        <w:tc>
          <w:tcPr>
            <w:tcW w:w="5000" w:type="dxa"/>
            <w:vAlign w:val="bottom"/>
          </w:tcPr>
          <w:p>
            <w:pPr>
              <w:jc w:val="center"/>
              <w:spacing w:after="0"/>
              <w:rPr>
                <w:sz w:val="20"/>
                <w:szCs w:val="20"/>
                <w:color w:val="auto"/>
              </w:rPr>
            </w:pPr>
            <w:r>
              <w:rPr>
                <w:rFonts w:ascii="Arial" w:cs="Arial" w:eastAsia="Arial" w:hAnsi="Arial"/>
                <w:sz w:val="18"/>
                <w:szCs w:val="18"/>
                <w:color w:val="auto"/>
                <w:w w:val="99"/>
              </w:rPr>
              <w:t>001-35832</w:t>
            </w:r>
          </w:p>
        </w:tc>
        <w:tc>
          <w:tcPr>
            <w:tcW w:w="1700" w:type="dxa"/>
            <w:vAlign w:val="bottom"/>
          </w:tcPr>
          <w:p>
            <w:pPr>
              <w:jc w:val="center"/>
              <w:ind w:left="382"/>
              <w:spacing w:after="0"/>
              <w:rPr>
                <w:sz w:val="20"/>
                <w:szCs w:val="20"/>
                <w:color w:val="auto"/>
              </w:rPr>
            </w:pPr>
            <w:r>
              <w:rPr>
                <w:rFonts w:ascii="Arial" w:cs="Arial" w:eastAsia="Arial" w:hAnsi="Arial"/>
                <w:sz w:val="18"/>
                <w:szCs w:val="18"/>
                <w:color w:val="auto"/>
                <w:w w:val="99"/>
              </w:rPr>
              <w:t>46-1932921</w:t>
            </w:r>
          </w:p>
        </w:tc>
      </w:tr>
      <w:tr>
        <w:trPr>
          <w:trHeight w:val="216"/>
        </w:trPr>
        <w:tc>
          <w:tcPr>
            <w:tcW w:w="2120" w:type="dxa"/>
            <w:vAlign w:val="bottom"/>
          </w:tcPr>
          <w:p>
            <w:pPr>
              <w:jc w:val="center"/>
              <w:ind w:right="202"/>
              <w:spacing w:after="0"/>
              <w:rPr>
                <w:sz w:val="20"/>
                <w:szCs w:val="20"/>
                <w:color w:val="auto"/>
              </w:rPr>
            </w:pPr>
            <w:r>
              <w:rPr>
                <w:rFonts w:ascii="Arial" w:cs="Arial" w:eastAsia="Arial" w:hAnsi="Arial"/>
                <w:sz w:val="14"/>
                <w:szCs w:val="14"/>
                <w:b w:val="1"/>
                <w:bCs w:val="1"/>
                <w:color w:val="auto"/>
              </w:rPr>
              <w:t>(State or other Jurisdiction</w:t>
            </w:r>
          </w:p>
        </w:tc>
        <w:tc>
          <w:tcPr>
            <w:tcW w:w="500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02"/>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20" w:type="dxa"/>
            <w:vAlign w:val="bottom"/>
          </w:tcPr>
          <w:p>
            <w:pPr>
              <w:jc w:val="center"/>
              <w:ind w:right="202"/>
              <w:spacing w:after="0"/>
              <w:rPr>
                <w:sz w:val="20"/>
                <w:szCs w:val="20"/>
                <w:color w:val="auto"/>
              </w:rPr>
            </w:pPr>
            <w:r>
              <w:rPr>
                <w:rFonts w:ascii="Arial" w:cs="Arial" w:eastAsia="Arial" w:hAnsi="Arial"/>
                <w:sz w:val="14"/>
                <w:szCs w:val="14"/>
                <w:b w:val="1"/>
                <w:bCs w:val="1"/>
                <w:color w:val="auto"/>
              </w:rPr>
              <w:t>of Incorporation)</w:t>
            </w:r>
          </w:p>
        </w:tc>
        <w:tc>
          <w:tcPr>
            <w:tcW w:w="500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02"/>
              <w:spacing w:after="0"/>
              <w:rPr>
                <w:sz w:val="20"/>
                <w:szCs w:val="20"/>
                <w:color w:val="auto"/>
              </w:rPr>
            </w:pPr>
            <w:r>
              <w:rPr>
                <w:rFonts w:ascii="Arial" w:cs="Arial" w:eastAsia="Arial" w:hAnsi="Arial"/>
                <w:sz w:val="14"/>
                <w:szCs w:val="14"/>
                <w:b w:val="1"/>
                <w:bCs w:val="1"/>
                <w:color w:val="auto"/>
              </w:rPr>
              <w:t>Identification No.)</w:t>
            </w:r>
          </w:p>
        </w:tc>
      </w:tr>
      <w:tr>
        <w:trPr>
          <w:trHeight w:val="282"/>
        </w:trPr>
        <w:tc>
          <w:tcPr>
            <w:tcW w:w="2120" w:type="dxa"/>
            <w:vAlign w:val="bottom"/>
          </w:tcPr>
          <w:p>
            <w:pPr>
              <w:spacing w:after="0"/>
              <w:rPr>
                <w:sz w:val="24"/>
                <w:szCs w:val="24"/>
                <w:color w:val="auto"/>
              </w:rPr>
            </w:pPr>
          </w:p>
        </w:tc>
        <w:tc>
          <w:tcPr>
            <w:tcW w:w="5000" w:type="dxa"/>
            <w:vAlign w:val="bottom"/>
          </w:tcPr>
          <w:p>
            <w:pPr>
              <w:jc w:val="center"/>
              <w:ind w:right="80"/>
              <w:spacing w:after="0"/>
              <w:rPr>
                <w:sz w:val="20"/>
                <w:szCs w:val="20"/>
                <w:color w:val="auto"/>
              </w:rPr>
            </w:pPr>
            <w:r>
              <w:rPr>
                <w:rFonts w:ascii="Arial" w:cs="Arial" w:eastAsia="Arial" w:hAnsi="Arial"/>
                <w:sz w:val="18"/>
                <w:szCs w:val="18"/>
                <w:color w:val="auto"/>
                <w:w w:val="99"/>
              </w:rPr>
              <w:t>12010 Sunset Hills Road, Reston, VA 20190</w:t>
            </w:r>
          </w:p>
        </w:tc>
        <w:tc>
          <w:tcPr>
            <w:tcW w:w="1700" w:type="dxa"/>
            <w:vAlign w:val="bottom"/>
          </w:tcPr>
          <w:p>
            <w:pPr>
              <w:spacing w:after="0"/>
              <w:rPr>
                <w:sz w:val="24"/>
                <w:szCs w:val="24"/>
                <w:color w:val="auto"/>
              </w:rPr>
            </w:pPr>
          </w:p>
        </w:tc>
      </w:tr>
      <w:tr>
        <w:trPr>
          <w:trHeight w:val="231"/>
        </w:trPr>
        <w:tc>
          <w:tcPr>
            <w:tcW w:w="2120" w:type="dxa"/>
            <w:vAlign w:val="bottom"/>
          </w:tcPr>
          <w:p>
            <w:pPr>
              <w:spacing w:after="0"/>
              <w:rPr>
                <w:sz w:val="20"/>
                <w:szCs w:val="20"/>
                <w:color w:val="auto"/>
              </w:rPr>
            </w:pPr>
          </w:p>
        </w:tc>
        <w:tc>
          <w:tcPr>
            <w:tcW w:w="50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1700" w:type="dxa"/>
            <w:vAlign w:val="bottom"/>
          </w:tcPr>
          <w:p>
            <w:pPr>
              <w:spacing w:after="0"/>
              <w:rPr>
                <w:sz w:val="20"/>
                <w:szCs w:val="20"/>
                <w:color w:val="auto"/>
              </w:rPr>
            </w:pPr>
          </w:p>
        </w:tc>
      </w:tr>
      <w:tr>
        <w:trPr>
          <w:trHeight w:val="255"/>
        </w:trPr>
        <w:tc>
          <w:tcPr>
            <w:tcW w:w="2120" w:type="dxa"/>
            <w:vAlign w:val="bottom"/>
          </w:tcPr>
          <w:p>
            <w:pPr>
              <w:spacing w:after="0"/>
              <w:rPr>
                <w:sz w:val="22"/>
                <w:szCs w:val="22"/>
                <w:color w:val="auto"/>
              </w:rPr>
            </w:pPr>
          </w:p>
        </w:tc>
        <w:tc>
          <w:tcPr>
            <w:tcW w:w="5000" w:type="dxa"/>
            <w:vAlign w:val="bottom"/>
          </w:tcPr>
          <w:p>
            <w:pPr>
              <w:jc w:val="center"/>
              <w:ind w:right="100"/>
              <w:spacing w:after="0"/>
              <w:rPr>
                <w:sz w:val="20"/>
                <w:szCs w:val="20"/>
                <w:color w:val="auto"/>
              </w:rPr>
            </w:pPr>
            <w:r>
              <w:rPr>
                <w:rFonts w:ascii="Arial" w:cs="Arial" w:eastAsia="Arial" w:hAnsi="Arial"/>
                <w:sz w:val="18"/>
                <w:szCs w:val="18"/>
                <w:color w:val="auto"/>
                <w:w w:val="99"/>
              </w:rPr>
              <w:t>(703) 676-4300</w:t>
            </w:r>
          </w:p>
        </w:tc>
        <w:tc>
          <w:tcPr>
            <w:tcW w:w="1700" w:type="dxa"/>
            <w:vAlign w:val="bottom"/>
          </w:tcPr>
          <w:p>
            <w:pPr>
              <w:spacing w:after="0"/>
              <w:rPr>
                <w:sz w:val="22"/>
                <w:szCs w:val="22"/>
                <w:color w:val="auto"/>
              </w:rPr>
            </w:pPr>
          </w:p>
        </w:tc>
      </w:tr>
      <w:tr>
        <w:trPr>
          <w:trHeight w:val="231"/>
        </w:trPr>
        <w:tc>
          <w:tcPr>
            <w:tcW w:w="2120" w:type="dxa"/>
            <w:vAlign w:val="bottom"/>
          </w:tcPr>
          <w:p>
            <w:pPr>
              <w:spacing w:after="0"/>
              <w:rPr>
                <w:sz w:val="20"/>
                <w:szCs w:val="20"/>
                <w:color w:val="auto"/>
              </w:rPr>
            </w:pPr>
          </w:p>
        </w:tc>
        <w:tc>
          <w:tcPr>
            <w:tcW w:w="5000" w:type="dxa"/>
            <w:vAlign w:val="bottom"/>
          </w:tcPr>
          <w:p>
            <w:pPr>
              <w:jc w:val="center"/>
              <w:ind w:right="1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700" w:type="dxa"/>
            <w:vAlign w:val="bottom"/>
          </w:tcPr>
          <w:p>
            <w:pPr>
              <w:spacing w:after="0"/>
              <w:rPr>
                <w:sz w:val="20"/>
                <w:szCs w:val="20"/>
                <w:color w:val="auto"/>
              </w:rPr>
            </w:pPr>
          </w:p>
        </w:tc>
      </w:tr>
      <w:tr>
        <w:trPr>
          <w:trHeight w:val="255"/>
        </w:trPr>
        <w:tc>
          <w:tcPr>
            <w:tcW w:w="2120" w:type="dxa"/>
            <w:vAlign w:val="bottom"/>
          </w:tcPr>
          <w:p>
            <w:pPr>
              <w:spacing w:after="0"/>
              <w:rPr>
                <w:sz w:val="22"/>
                <w:szCs w:val="22"/>
                <w:color w:val="auto"/>
              </w:rPr>
            </w:pPr>
          </w:p>
        </w:tc>
        <w:tc>
          <w:tcPr>
            <w:tcW w:w="5000" w:type="dxa"/>
            <w:vAlign w:val="bottom"/>
          </w:tcPr>
          <w:p>
            <w:pPr>
              <w:jc w:val="center"/>
              <w:ind w:right="80"/>
              <w:spacing w:after="0"/>
              <w:rPr>
                <w:sz w:val="20"/>
                <w:szCs w:val="20"/>
                <w:color w:val="auto"/>
              </w:rPr>
            </w:pPr>
            <w:r>
              <w:rPr>
                <w:rFonts w:ascii="Arial" w:cs="Arial" w:eastAsia="Arial" w:hAnsi="Arial"/>
                <w:sz w:val="18"/>
                <w:szCs w:val="18"/>
                <w:color w:val="auto"/>
                <w:w w:val="99"/>
              </w:rPr>
              <w:t>Not Applicable</w:t>
            </w:r>
          </w:p>
        </w:tc>
        <w:tc>
          <w:tcPr>
            <w:tcW w:w="1700" w:type="dxa"/>
            <w:vAlign w:val="bottom"/>
          </w:tcPr>
          <w:p>
            <w:pPr>
              <w:spacing w:after="0"/>
              <w:rPr>
                <w:sz w:val="22"/>
                <w:szCs w:val="22"/>
                <w:color w:val="auto"/>
              </w:rPr>
            </w:pPr>
          </w:p>
        </w:tc>
      </w:tr>
      <w:tr>
        <w:trPr>
          <w:trHeight w:val="258"/>
        </w:trPr>
        <w:tc>
          <w:tcPr>
            <w:tcW w:w="2120" w:type="dxa"/>
            <w:vAlign w:val="bottom"/>
          </w:tcPr>
          <w:p>
            <w:pPr>
              <w:spacing w:after="0"/>
              <w:rPr>
                <w:sz w:val="22"/>
                <w:szCs w:val="22"/>
                <w:color w:val="auto"/>
              </w:rPr>
            </w:pPr>
          </w:p>
        </w:tc>
        <w:tc>
          <w:tcPr>
            <w:tcW w:w="5000" w:type="dxa"/>
            <w:vAlign w:val="bottom"/>
          </w:tcPr>
          <w:p>
            <w:pPr>
              <w:jc w:val="center"/>
              <w:ind w:right="140"/>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700" w:type="dxa"/>
            <w:vAlign w:val="bottom"/>
          </w:tcPr>
          <w:p>
            <w:pPr>
              <w:spacing w:after="0"/>
              <w:rPr>
                <w:sz w:val="22"/>
                <w:szCs w:val="22"/>
                <w:color w:val="auto"/>
              </w:rPr>
            </w:pPr>
          </w:p>
        </w:tc>
      </w:tr>
    </w:tbl>
    <w:p>
      <w:pPr>
        <w:spacing w:after="0" w:line="18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3420" w:right="1960" w:hanging="3385"/>
        <w:spacing w:after="0" w:line="356" w:lineRule="auto"/>
        <w:tabs>
          <w:tab w:leader="none" w:pos="5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9" w:lineRule="exact"/>
        <w:rPr>
          <w:sz w:val="24"/>
          <w:szCs w:val="24"/>
          <w:color w:val="auto"/>
        </w:rPr>
      </w:pPr>
    </w:p>
    <w:tbl>
      <w:tblPr>
        <w:tblLayout w:type="fixed"/>
        <w:tblInd w:w="50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Pr>
          <w:p>
            <w:pPr>
              <w:spacing w:after="0"/>
              <w:rPr>
                <w:sz w:val="14"/>
                <w:szCs w:val="14"/>
                <w:color w:val="auto"/>
              </w:rPr>
            </w:pPr>
          </w:p>
        </w:tc>
        <w:tc>
          <w:tcPr>
            <w:tcW w:w="268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rPr>
              <w:t>Trading Symbol(s)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4"/>
        </w:trPr>
        <w:tc>
          <w:tcPr>
            <w:tcW w:w="36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Common Stock, par value $.0001 per share</w:t>
            </w:r>
          </w:p>
        </w:tc>
        <w:tc>
          <w:tcPr>
            <w:tcW w:w="2680" w:type="dxa"/>
            <w:vAlign w:val="bottom"/>
            <w:gridSpan w:val="2"/>
          </w:tcPr>
          <w:p>
            <w:pPr>
              <w:jc w:val="center"/>
              <w:ind w:right="1420"/>
              <w:spacing w:after="0"/>
              <w:rPr>
                <w:sz w:val="20"/>
                <w:szCs w:val="20"/>
                <w:color w:val="auto"/>
              </w:rPr>
            </w:pPr>
            <w:r>
              <w:rPr>
                <w:rFonts w:ascii="Arial" w:cs="Arial" w:eastAsia="Arial" w:hAnsi="Arial"/>
                <w:sz w:val="16"/>
                <w:szCs w:val="16"/>
                <w:b w:val="1"/>
                <w:bCs w:val="1"/>
                <w:color w:val="auto"/>
                <w:w w:val="99"/>
              </w:rPr>
              <w:t>SAIC</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New York Stock Exchange</w:t>
            </w:r>
          </w:p>
        </w:tc>
      </w:tr>
    </w:tbl>
    <w:p>
      <w:pPr>
        <w:spacing w:after="0" w:line="73"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1.01. </w:t>
      </w:r>
      <w:r>
        <w:rPr>
          <w:rFonts w:ascii="Arial" w:cs="Arial" w:eastAsia="Arial" w:hAnsi="Arial"/>
          <w:sz w:val="18"/>
          <w:szCs w:val="18"/>
          <w:b w:val="1"/>
          <w:bCs w:val="1"/>
          <w:i w:val="1"/>
          <w:iCs w:val="1"/>
          <w:color w:val="auto"/>
        </w:rPr>
        <w:t>Entry into a Material Definitive Agreement</w:t>
      </w:r>
    </w:p>
    <w:p>
      <w:pPr>
        <w:spacing w:after="0" w:line="3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19, 2020, Science Applications International Corporation (“SAIC”) entered into a First Amendment (the “Amendment”) to the Third Amended and Restated Credit Agreement, dated as of October 31, 2018 (the “Existing Credit Agreement”), among SAIC, as borrower, Citibank, N.A., as administrative agent and collateral agent, and certain other lenders and parties thereto.</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Pursuant to the Amendment, (i) certain definitions and provisions in the Existing Credit Agreement relating to limited conditionality regarding future acquisitions and the previously announced acquisition by SAIC of Unisys Federal, a business unit of Unisys, were modified; (ii) the definition of EBITDA was amended to include additional addbacks for costs associated with permitted acquisitions and certain fees in respect of accounts receivable financing facilities; (iii) certain restrictions limiting the amount of permitted receivables financing facilities were amended to increase the amount outstanding at any time under such facilities to the greater of $300,000,000 and 6.5% of total assets; and (iv) certain other minor and conforming amendments were made. The remaining terms in the Existing Credit Agreement are unchanged.</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a copy of which is filed as Exhibit 10.1 hereto and incorporated by reference in this Current Report on Form 8-K.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2.03. </w:t>
      </w:r>
      <w:r>
        <w:rPr>
          <w:rFonts w:ascii="Arial" w:cs="Arial" w:eastAsia="Arial" w:hAnsi="Arial"/>
          <w:sz w:val="18"/>
          <w:szCs w:val="18"/>
          <w:b w:val="1"/>
          <w:bCs w:val="1"/>
          <w:i w:val="1"/>
          <w:iCs w:val="1"/>
          <w:color w:val="auto"/>
        </w:rPr>
        <w:t>Creation of a Direct Financial Obligation or an Obligation under an Off-Balance Sheet Arrangement of a Registrant</w:t>
      </w:r>
    </w:p>
    <w:p>
      <w:pPr>
        <w:spacing w:after="0" w:line="2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information included in Item 1.01 of this Current Report on Form 8-K is also incorporated by reference into this Item 2.03 of this Current Report on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Exhibit</w:t>
            </w:r>
          </w:p>
        </w:tc>
        <w:tc>
          <w:tcPr>
            <w:tcW w:w="8620" w:type="dxa"/>
            <w:vAlign w:val="bottom"/>
          </w:tcPr>
          <w:p>
            <w:pPr>
              <w:spacing w:after="0"/>
              <w:rPr>
                <w:sz w:val="14"/>
                <w:szCs w:val="14"/>
                <w:color w:val="auto"/>
              </w:rPr>
            </w:pPr>
          </w:p>
        </w:tc>
      </w:tr>
      <w:tr>
        <w:trPr>
          <w:trHeight w:val="196"/>
        </w:trPr>
        <w:tc>
          <w:tcPr>
            <w:tcW w:w="12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Number</w:t>
            </w:r>
          </w:p>
        </w:tc>
        <w:tc>
          <w:tcPr>
            <w:tcW w:w="862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499"/>
        </w:trPr>
        <w:tc>
          <w:tcPr>
            <w:tcW w:w="520" w:type="dxa"/>
            <w:vAlign w:val="bottom"/>
            <w:tcBorders>
              <w:top w:val="single" w:sz="8" w:color="auto"/>
            </w:tcBorders>
            <w:gridSpan w:val="2"/>
          </w:tcPr>
          <w:p>
            <w:pPr>
              <w:jc w:val="center"/>
              <w:ind w:left="82"/>
              <w:spacing w:after="0"/>
              <w:rPr>
                <w:rFonts w:ascii="Arial" w:cs="Arial" w:eastAsia="Arial" w:hAnsi="Arial"/>
                <w:sz w:val="18"/>
                <w:szCs w:val="18"/>
                <w:color w:val="2B4C9B"/>
              </w:rPr>
            </w:pPr>
            <w:hyperlink w:anchor="page4">
              <w:r>
                <w:rPr>
                  <w:rFonts w:ascii="Arial" w:cs="Arial" w:eastAsia="Arial" w:hAnsi="Arial"/>
                  <w:sz w:val="18"/>
                  <w:szCs w:val="18"/>
                  <w:color w:val="2B4C9B"/>
                </w:rPr>
                <w:t>10.</w:t>
              </w:r>
              <w:r>
                <w:rPr>
                  <w:rFonts w:ascii="Arial" w:cs="Arial" w:eastAsia="Arial" w:hAnsi="Arial"/>
                  <w:sz w:val="18"/>
                  <w:szCs w:val="18"/>
                  <w:u w:val="single" w:color="auto"/>
                  <w:color w:val="2B4C9B"/>
                </w:rPr>
                <w:t>1</w:t>
              </w:r>
            </w:hyperlink>
          </w:p>
        </w:tc>
        <w:tc>
          <w:tcPr>
            <w:tcW w:w="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First Amendment to the Third Amended and Restated Credit Agreement by and among SAIC, Citibank, as</w:t>
            </w:r>
          </w:p>
        </w:tc>
      </w:tr>
      <w:tr>
        <w:trPr>
          <w:trHeight w:val="209"/>
        </w:trPr>
        <w:tc>
          <w:tcPr>
            <w:tcW w:w="160" w:type="dxa"/>
            <w:vAlign w:val="bottom"/>
          </w:tcPr>
          <w:p>
            <w:pPr>
              <w:spacing w:after="0"/>
              <w:rPr>
                <w:sz w:val="18"/>
                <w:szCs w:val="18"/>
                <w:color w:val="auto"/>
              </w:rPr>
            </w:pPr>
          </w:p>
        </w:tc>
        <w:tc>
          <w:tcPr>
            <w:tcW w:w="360" w:type="dxa"/>
            <w:vAlign w:val="bottom"/>
            <w:tcBorders>
              <w:top w:val="single" w:sz="8" w:color="2B4C9B"/>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administrative agent and collateral agent, and certain other agents and lenders party thereto, dated</w:t>
            </w:r>
          </w:p>
        </w:tc>
      </w:tr>
      <w:tr>
        <w:trPr>
          <w:trHeight w:val="217"/>
        </w:trPr>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February 19, 2020.</w:t>
            </w:r>
          </w:p>
        </w:tc>
      </w:tr>
    </w:tbl>
    <w:p>
      <w:pPr>
        <w:spacing w:after="0" w:line="364" w:lineRule="exact"/>
        <w:rPr>
          <w:sz w:val="20"/>
          <w:szCs w:val="20"/>
          <w:color w:val="auto"/>
        </w:rPr>
      </w:pPr>
    </w:p>
    <w:p>
      <w:pPr>
        <w:ind w:left="1260" w:right="2220" w:hanging="1071"/>
        <w:spacing w:after="0" w:line="246"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56"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as Inline XBRL</w:t>
      </w:r>
    </w:p>
    <w:p>
      <w:pPr>
        <w:sectPr>
          <w:pgSz w:w="11900" w:h="16838" w:orient="portrait"/>
          <w:cols w:equalWidth="0" w:num="1">
            <w:col w:w="11360"/>
          </w:cols>
          <w:pgMar w:left="240" w:top="630" w:right="2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G.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2573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Steven G. Mahon</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Executive Vice President, General Counsel and Corporate</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120"/>
          </w:cols>
          <w:pgMar w:left="240" w:top="738"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2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This FIRST AMENDMENT, dated as of February 19,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to the THIRD AMENDED AND RESTATED CREDIT AGREEMENT dated as of October 31, 2018, (as amended from time to time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SCIENCE APPLICATIONS INTERNATIONAL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Subsidiaries of the Borrower party hereto, the lenders party thereto and CITIBANK, N.A., as Administrative Agent and Collateral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defined herein have the meaning provided in the Existing Credit Agreement). CITIBANK, N.A., and additional banks as to be agreed will be appointed to act as joint lead arrangers and joint bookrunners in connection with this Agreement (in such capacities, the “</w:t>
      </w:r>
      <w:r>
        <w:rPr>
          <w:rFonts w:ascii="Arial" w:cs="Arial" w:eastAsia="Arial" w:hAnsi="Arial"/>
          <w:sz w:val="18"/>
          <w:szCs w:val="18"/>
          <w:u w:val="single" w:color="auto"/>
          <w:color w:val="auto"/>
        </w:rPr>
        <w:t>Arrangers</w:t>
      </w:r>
      <w:r>
        <w:rPr>
          <w:rFonts w:ascii="Arial" w:cs="Arial" w:eastAsia="Arial" w:hAnsi="Arial"/>
          <w:sz w:val="18"/>
          <w:szCs w:val="18"/>
          <w:color w:val="auto"/>
        </w:rPr>
        <w:t>”) and additional banks as to be agreed will be appointed to act as co-managers in connection with this Agreement (in such capacities, the “</w:t>
      </w:r>
      <w:r>
        <w:rPr>
          <w:rFonts w:ascii="Arial" w:cs="Arial" w:eastAsia="Arial" w:hAnsi="Arial"/>
          <w:sz w:val="18"/>
          <w:szCs w:val="18"/>
          <w:u w:val="single" w:color="auto"/>
          <w:color w:val="auto"/>
        </w:rPr>
        <w:t>Co-Managers</w:t>
      </w:r>
      <w:r>
        <w:rPr>
          <w:rFonts w:ascii="Arial" w:cs="Arial" w:eastAsia="Arial" w:hAnsi="Arial"/>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pursuant to the Existing Credit Agreement, the Revolving Credit Lenders (as defined below) have extended credit to the Borrower in the form of Revolving Credit Commitments and Revolving Credit Advances on the terms and subject to the conditions set forth therein;</w:t>
      </w:r>
    </w:p>
    <w:p>
      <w:pPr>
        <w:spacing w:after="0" w:line="20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WHEREAS, pursuant to the Existing Credit Agreement, the Term Advance Lenders (as defined below) have made Term Advances and/or Tranche B Loans to the Borrower on the terms and subject to the conditions set forth therein;</w:t>
      </w:r>
    </w:p>
    <w:p>
      <w:pPr>
        <w:spacing w:after="0" w:line="196"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WHEREAS, the Borrower has requested that the Existing Credit Agreement be amended (as so amended, the “</w:t>
      </w:r>
      <w:r>
        <w:rPr>
          <w:rFonts w:ascii="Arial" w:cs="Arial" w:eastAsia="Arial" w:hAnsi="Arial"/>
          <w:sz w:val="18"/>
          <w:szCs w:val="18"/>
          <w:u w:val="single" w:color="auto"/>
          <w:color w:val="auto"/>
        </w:rPr>
        <w:t>Amended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 to provide for:</w:t>
      </w:r>
    </w:p>
    <w:p>
      <w:pPr>
        <w:spacing w:after="0" w:line="196" w:lineRule="exact"/>
        <w:rPr>
          <w:sz w:val="20"/>
          <w:szCs w:val="20"/>
          <w:color w:val="auto"/>
        </w:rPr>
      </w:pPr>
    </w:p>
    <w:p>
      <w:pPr>
        <w:ind w:left="1620" w:hanging="315"/>
        <w:spacing w:after="0" w:line="262"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modification of certain definitions and provisions relating to limited conditionality regarding the Olympus Acquisition and future Permitted Acquisitions; and</w:t>
      </w:r>
    </w:p>
    <w:p>
      <w:pPr>
        <w:spacing w:after="0" w:line="196" w:lineRule="exact"/>
        <w:rPr>
          <w:rFonts w:ascii="Arial" w:cs="Arial" w:eastAsia="Arial" w:hAnsi="Arial"/>
          <w:sz w:val="18"/>
          <w:szCs w:val="18"/>
          <w:color w:val="auto"/>
        </w:rPr>
      </w:pPr>
    </w:p>
    <w:p>
      <w:pPr>
        <w:ind w:left="1620" w:hanging="315"/>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modification of Section 5.03(k)(vii) regarding the Olympus Acquisition and future Permitted Acquisitions.</w:t>
      </w:r>
    </w:p>
    <w:p>
      <w:pPr>
        <w:spacing w:after="0" w:line="22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each lender holding Revolving Credit Commitments (each, a “</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that executes and delivers a signature page to this Agreement at or prior to 12:00 p.m., New York City time, on February 19, 2020 (the “</w:t>
      </w:r>
      <w:r>
        <w:rPr>
          <w:rFonts w:ascii="Arial" w:cs="Arial" w:eastAsia="Arial" w:hAnsi="Arial"/>
          <w:sz w:val="18"/>
          <w:szCs w:val="18"/>
          <w:u w:val="single" w:color="auto"/>
          <w:color w:val="auto"/>
        </w:rPr>
        <w:t>Signing Date and Time</w:t>
      </w:r>
      <w:r>
        <w:rPr>
          <w:rFonts w:ascii="Arial" w:cs="Arial" w:eastAsia="Arial" w:hAnsi="Arial"/>
          <w:sz w:val="18"/>
          <w:szCs w:val="18"/>
          <w:color w:val="auto"/>
        </w:rPr>
        <w:t>”) will, in each case, have agreed to the terms of this Agreement upon the effectiveness of this Agreement on the First Amendment Effective Date; and</w:t>
      </w:r>
    </w:p>
    <w:p>
      <w:pPr>
        <w:spacing w:after="0" w:line="20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each lender holding Term Advances and/or Tranche B Loans (each, a “</w:t>
      </w:r>
      <w:r>
        <w:rPr>
          <w:rFonts w:ascii="Arial" w:cs="Arial" w:eastAsia="Arial" w:hAnsi="Arial"/>
          <w:sz w:val="18"/>
          <w:szCs w:val="18"/>
          <w:u w:val="single" w:color="auto"/>
          <w:color w:val="auto"/>
        </w:rPr>
        <w:t>Term Advance Lender</w:t>
      </w:r>
      <w:r>
        <w:rPr>
          <w:rFonts w:ascii="Arial" w:cs="Arial" w:eastAsia="Arial" w:hAnsi="Arial"/>
          <w:sz w:val="18"/>
          <w:szCs w:val="18"/>
          <w:color w:val="auto"/>
        </w:rPr>
        <w:t>”) that executes and delivers a signature page to this Agreement at or prior to the Signing Date and Time will, in each case, have agreed to the terms of this Agreement upon the effectiveness of this Agreement on the First Amendment Effective Date.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1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of the Existing Credit Agreement</w:t>
      </w:r>
      <w:r>
        <w:rPr>
          <w:rFonts w:ascii="Arial" w:cs="Arial" w:eastAsia="Arial" w:hAnsi="Arial"/>
          <w:sz w:val="18"/>
          <w:szCs w:val="18"/>
          <w:color w:val="auto"/>
        </w:rPr>
        <w:t>. Effective as of the First Amendment Effective Date, the Existing Credit Agreement is hereby amended as follows:</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following definitions are added in the appropriate alphabetical order to Section 1.01 of the Existing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February 19, 2020.”</w:t>
      </w:r>
    </w:p>
    <w:p>
      <w:pPr>
        <w:sectPr>
          <w:pgSz w:w="11900" w:h="16838" w:orient="portrait"/>
          <w:cols w:equalWidth="0" w:num="1">
            <w:col w:w="11420"/>
          </w:cols>
          <w:pgMar w:left="240" w:top="140" w:right="239" w:bottom="1440" w:gutter="0" w:footer="0" w:header="0"/>
        </w:sectPr>
      </w:pPr>
    </w:p>
    <w:bookmarkStart w:id="4" w:name="page5"/>
    <w:bookmarkEnd w:id="4"/>
    <w:p>
      <w:pPr>
        <w:jc w:val="both"/>
        <w:ind w:left="6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means any Permitted Acquisition which the Borrower or any of its Subsidiaries is contractually committed to consummate upon the satisfaction of certain conditions other than the availability of, or the obtaining of, third party financing.”</w:t>
      </w:r>
    </w:p>
    <w:p>
      <w:pPr>
        <w:spacing w:after="0" w:line="202" w:lineRule="exact"/>
        <w:rPr>
          <w:sz w:val="20"/>
          <w:szCs w:val="20"/>
          <w:color w:val="auto"/>
        </w:rPr>
      </w:pPr>
    </w:p>
    <w:p>
      <w:pPr>
        <w:jc w:val="both"/>
        <w:ind w:left="640"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Olympus Acquisition</w:t>
      </w:r>
      <w:r>
        <w:rPr>
          <w:rFonts w:ascii="Arial" w:cs="Arial" w:eastAsia="Arial" w:hAnsi="Arial"/>
          <w:sz w:val="18"/>
          <w:szCs w:val="18"/>
          <w:color w:val="auto"/>
        </w:rPr>
        <w:t>” shall mean the acquisition by the Borrower of certain assets of Unisys Corporation pursuant to the Asset Purchase Agreement, dated as of February 5, 2020 by and between Unisys Corporation and Borrower.”</w:t>
      </w:r>
    </w:p>
    <w:p>
      <w:pPr>
        <w:spacing w:after="0" w:line="196" w:lineRule="exact"/>
        <w:rPr>
          <w:sz w:val="20"/>
          <w:szCs w:val="20"/>
          <w:color w:val="auto"/>
        </w:rPr>
      </w:pPr>
    </w:p>
    <w:p>
      <w:pPr>
        <w:ind w:left="2160" w:hanging="867"/>
        <w:spacing w:after="0"/>
        <w:tabs>
          <w:tab w:leader="none" w:pos="2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definition in Section 1.01 of the Existing Credit Agreement are hereby amended and restated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their entirety as follows:</w:t>
      </w:r>
    </w:p>
    <w:p>
      <w:pPr>
        <w:spacing w:after="0" w:line="225"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has the meaning specified in Section 5.03(j)(vi); provided that, for the avoidance of doubt, the Engility Acquisition and the Olympus Acquisition shall each be a Permitted Acquisition hereunder.</w:t>
      </w:r>
    </w:p>
    <w:p>
      <w:pPr>
        <w:spacing w:after="0" w:line="196" w:lineRule="exact"/>
        <w:rPr>
          <w:sz w:val="20"/>
          <w:szCs w:val="20"/>
          <w:color w:val="auto"/>
        </w:rPr>
      </w:pPr>
    </w:p>
    <w:p>
      <w:pPr>
        <w:ind w:firstLine="1293"/>
        <w:spacing w:after="0" w:line="262" w:lineRule="auto"/>
        <w:tabs>
          <w:tab w:leader="none" w:pos="21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“EBITDA” in Section 1.01 of the Existing Credit Agreement is hereby amended by amending and restating clauses (a), (e) and (h) therein in their entirety as follows:</w:t>
      </w:r>
    </w:p>
    <w:p>
      <w:pPr>
        <w:spacing w:after="0" w:line="196"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“(a) Interest Expense of, and purchase discount fees in respect of any Receivables Facility incurred by, such Person and its Consolidated Subsidiaries for that period”</w:t>
      </w:r>
    </w:p>
    <w:p>
      <w:pPr>
        <w:spacing w:after="0" w:line="196"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“(e) any losses attributable to the sale of assets outside the Ordinary Course of Business and any loss on the sale of accounts receivable pursuant to a Receivables Facility”</w:t>
      </w:r>
    </w:p>
    <w:p>
      <w:pPr>
        <w:spacing w:after="0" w:line="196"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“(h) one-time costs and expenses related to any Permitted Acquisition and any other transactions in connection therewith, including any reorganization expenses (in each case whether or not consummated).”</w:t>
      </w:r>
    </w:p>
    <w:p>
      <w:pPr>
        <w:spacing w:after="0" w:line="196" w:lineRule="exact"/>
        <w:rPr>
          <w:sz w:val="20"/>
          <w:szCs w:val="20"/>
          <w:color w:val="auto"/>
        </w:rPr>
      </w:pPr>
    </w:p>
    <w:p>
      <w:pPr>
        <w:ind w:right="20" w:firstLine="1293"/>
        <w:spacing w:after="0" w:line="262" w:lineRule="auto"/>
        <w:tabs>
          <w:tab w:leader="none" w:pos="215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definition of “Excess Cash Flow” in Section 1.01 of the Existing Credit Agreement is hereby amended by adding the following clause (x) in the appropriate numerical order as follows:</w:t>
      </w:r>
    </w:p>
    <w:p>
      <w:pPr>
        <w:spacing w:after="0" w:line="19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and (x) any purchase discount fees or loss on the sale of accounts receivable incurred pursuant to a Receivables Facility.”</w:t>
      </w:r>
    </w:p>
    <w:p>
      <w:pPr>
        <w:spacing w:after="0" w:line="225" w:lineRule="exact"/>
        <w:rPr>
          <w:rFonts w:ascii="Arial" w:cs="Arial" w:eastAsia="Arial" w:hAnsi="Arial"/>
          <w:sz w:val="18"/>
          <w:szCs w:val="18"/>
          <w:color w:val="auto"/>
        </w:rPr>
      </w:pPr>
    </w:p>
    <w:p>
      <w:pPr>
        <w:ind w:left="2140" w:hanging="847"/>
        <w:spacing w:after="0"/>
        <w:tabs>
          <w:tab w:leader="none" w:pos="2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1.07 is hereby amended by adding the below clause (e) to the end thereof:</w:t>
      </w:r>
    </w:p>
    <w:p>
      <w:pPr>
        <w:spacing w:after="0" w:line="225"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“(e) If the Borrower or one of its Subsidiaries is entering into a Limited Condition Acquisition, any subsequent calculation of any ratio or basket with respect to the incurrence of Indebtedness or Liens, or the making of Restricted Payments, mergers, Dispositions, Investments, the prepayment, redemption, purchase, defeasance or other satisfaction of Junior Financing, on or following the relevant date of determination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except (solely in the case of any ratio or basket with respect to the making of Restricted Payments or the prepayment, redemption, purchase, defeasance or other satisfaction of Junior Financing) to the extent such calculation on a pro forma basis would result in a lower ratio or increased basket availability (as applicable) than if calculated without giving effect to such Limited Condition Acquisition and the other transactions in connection therewith.”</w:t>
      </w:r>
    </w:p>
    <w:p>
      <w:pPr>
        <w:spacing w:after="0" w:line="211" w:lineRule="exact"/>
        <w:rPr>
          <w:sz w:val="20"/>
          <w:szCs w:val="20"/>
          <w:color w:val="auto"/>
        </w:rPr>
      </w:pPr>
    </w:p>
    <w:p>
      <w:pPr>
        <w:ind w:left="2120" w:hanging="827"/>
        <w:spacing w:after="0"/>
        <w:tabs>
          <w:tab w:leader="none" w:pos="2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5.03(a)(viii) is hereby amended and restated in its entirety to read as follows:</w:t>
      </w:r>
    </w:p>
    <w:p>
      <w:pPr>
        <w:spacing w:after="0" w:line="225"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“(viii) Liens on accounts receivable and related assets incurred in connection with a Receivables Facility in an amount outstanding at any time not to exceed the greater of (x) $300,000,000 and (y) 6.5% of Total Assets;”</w:t>
      </w:r>
    </w:p>
    <w:p>
      <w:pPr>
        <w:sectPr>
          <w:pgSz w:w="11900" w:h="16838" w:orient="portrait"/>
          <w:cols w:equalWidth="0" w:num="1">
            <w:col w:w="10760"/>
          </w:cols>
          <w:pgMar w:left="900" w:top="355" w:right="239" w:bottom="1440" w:gutter="0" w:footer="0" w:header="0"/>
        </w:sectPr>
      </w:pPr>
    </w:p>
    <w:bookmarkStart w:id="5" w:name="page6"/>
    <w:bookmarkEnd w:id="5"/>
    <w:p>
      <w:pPr>
        <w:ind w:left="1940" w:hanging="867"/>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5.03(k)(vii) is hereby amended and restated in its entirety to read as follows:</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“(vii)</w:t>
        <w:tab/>
        <w:t>unsecured Indebtedness of the Borrower or any of its Subsidiaries in an aggregate amount not to exceed the greater of</w:t>
      </w:r>
    </w:p>
    <w:p>
      <w:pPr>
        <w:spacing w:after="0" w:line="9" w:lineRule="exact"/>
        <w:rPr>
          <w:sz w:val="20"/>
          <w:szCs w:val="20"/>
          <w:color w:val="auto"/>
        </w:rPr>
      </w:pPr>
    </w:p>
    <w:p>
      <w:pPr>
        <w:jc w:val="both"/>
        <w:ind w:left="420" w:firstLine="5"/>
        <w:spacing w:after="0" w:line="251" w:lineRule="auto"/>
        <w:tabs>
          <w:tab w:leader="none" w:pos="69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$100,000,000 and (y) such other amount, so long as after giving pro forma effect to the incurrence of such Indebtedness (and the use of proceeds therefrom) and the pro forma adjustments described in Section 1.07, the Leverage Ratio is equal to or less than 4.50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unsecured Indebtedness are being used to finance, in whole or in part, a Permitted Acquisition then the Leverage Ratio set forth in clause (y) above must only be satisfied at the time the acquisition agreement for such Permitted Acquisition is entered into and if the proceeds of such unsecured Indebtedness are being used to finance, in whole or in part, the Olympus Acquisition then the Leverage Ratio set forth in clause (y) above must only be satisfied on the First Amendment Effective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the terms of such Indebtedness are not, when taken as a whole, materially more favorable to the lenders providing such Indebtedness than those applicable to the Facilities or are otherwise on current market terms for such type of Indebtedness, as determined by the Borrower, (b) the final maturity date of such Indebtedness shall be no earlier than 181 days after the final maturity date of any of the Facilities outstanding at the time of incurrence of such Indebtedness, (c) the aggregate amount of principal payments required to be made on such Indebtedness prior to the date that is 181 days after the final maturity date of any of the Facilities outstanding at the time of incurrence of such Indebtedness shall not exceed 10% of the original principal amount of such Indebtedness, (d) on a pro forma basis after giving effect to the incurrence of such Indebtedness (and the use of proceeds therefrom), no Event of Default shall have occurred and be continuing or would result therefrom, in the case of a Permitted Acquisition, at the time the acquisition agreement for such Permitted Acquisition is entered into and in the case of the Olympus Acquisition, on the First Amendment Effective Date and (e) the aggregate amount of all such Indebtedness incurred by Subsidiaries of the Borrower that are not Loan Parties shall not exceed the greater of (x) $100,000,000 and (y) 2.5% of Total Assets;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foregoing requirements of clause (b) shall not apply to the extent such Indebtedness constitutes a customary bridge facility, so long as the long-term Indebtedness into which any such customary bridge facility is to be converted or exchanged satisfies the requirements of clause (b) and such conversion or exchange is subject only to conditions customary for similar conversions or exchanges as determined by the Borrower;</w:t>
      </w:r>
    </w:p>
    <w:p>
      <w:pPr>
        <w:spacing w:after="0" w:line="208" w:lineRule="exact"/>
        <w:rPr>
          <w:sz w:val="20"/>
          <w:szCs w:val="20"/>
          <w:color w:val="auto"/>
        </w:rPr>
      </w:pPr>
    </w:p>
    <w:p>
      <w:pPr>
        <w:ind w:left="1940" w:hanging="867"/>
        <w:spacing w:after="0"/>
        <w:tabs>
          <w:tab w:leader="none" w:pos="1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5.03(k)(xii) is hereby amended and restated in its entirety to read as follows:</w:t>
      </w:r>
    </w:p>
    <w:p>
      <w:pPr>
        <w:spacing w:after="0" w:line="22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8"/>
          <w:szCs w:val="18"/>
          <w:color w:val="auto"/>
        </w:rPr>
        <w:t>Indebtedness in respect of a Receivables Facility in an amount outstanding at any time not to exceed the greater of</w:t>
      </w:r>
    </w:p>
    <w:p>
      <w:pPr>
        <w:spacing w:after="0" w:line="9" w:lineRule="exact"/>
        <w:rPr>
          <w:sz w:val="20"/>
          <w:szCs w:val="20"/>
          <w:color w:val="auto"/>
        </w:rPr>
      </w:pPr>
    </w:p>
    <w:p>
      <w:pPr>
        <w:ind w:left="680" w:hanging="25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$300,000,000 and (y) 6.5% of Total Assets;”</w:t>
      </w:r>
    </w:p>
    <w:p>
      <w:pPr>
        <w:spacing w:after="0" w:line="225" w:lineRule="exact"/>
        <w:rPr>
          <w:rFonts w:ascii="Arial" w:cs="Arial" w:eastAsia="Arial" w:hAnsi="Arial"/>
          <w:sz w:val="18"/>
          <w:szCs w:val="18"/>
          <w:color w:val="auto"/>
        </w:rPr>
      </w:pPr>
    </w:p>
    <w:p>
      <w:pPr>
        <w:ind w:left="1900" w:hanging="827"/>
        <w:spacing w:after="0"/>
        <w:tabs>
          <w:tab w:leader="none" w:pos="1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Section 5.03(n)(x) is hereby amended and restated in its entirety to read as follows:</w:t>
      </w:r>
    </w:p>
    <w:p>
      <w:pPr>
        <w:spacing w:after="0" w:line="225"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“(x) any Disposition or discounts of accounts receivable, or participations therein, and related assets in connection with any Receivables Facility in an amount outstanding at any time not to exceed the greater of (x) $300,000,000 and (y) 6.5% of Total Assets;”</w:t>
      </w:r>
    </w:p>
    <w:p>
      <w:pPr>
        <w:spacing w:after="0" w:line="202" w:lineRule="exact"/>
        <w:rPr>
          <w:sz w:val="20"/>
          <w:szCs w:val="20"/>
          <w:color w:val="auto"/>
        </w:rPr>
      </w:pPr>
    </w:p>
    <w:p>
      <w:pPr>
        <w:ind w:left="1900" w:hanging="827"/>
        <w:spacing w:after="0"/>
        <w:tabs>
          <w:tab w:leader="none" w:pos="1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Article IX is hereby amended by inserting a new Section 9.22 as follows: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Acknowledgment Regarding Any Supported QFCs</w:t>
      </w:r>
      <w:r>
        <w:rPr>
          <w:rFonts w:ascii="Arial" w:cs="Arial" w:eastAsia="Arial" w:hAnsi="Arial"/>
          <w:sz w:val="18"/>
          <w:szCs w:val="18"/>
          <w:color w:val="auto"/>
        </w:rPr>
        <w:t>. To the extent that the Loan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6" w:lineRule="exact"/>
        <w:rPr>
          <w:sz w:val="20"/>
          <w:szCs w:val="20"/>
          <w:color w:val="auto"/>
        </w:rPr>
      </w:pPr>
    </w:p>
    <w:p>
      <w:pPr>
        <w:jc w:val="both"/>
        <w:ind w:right="120" w:firstLine="425"/>
        <w:spacing w:after="0" w:line="256" w:lineRule="auto"/>
        <w:tabs>
          <w:tab w:leader="none" w:pos="7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w:t>
      </w:r>
    </w:p>
    <w:p>
      <w:pPr>
        <w:sectPr>
          <w:pgSz w:w="11900" w:h="16838" w:orient="portrait"/>
          <w:cols w:equalWidth="0" w:num="1">
            <w:col w:w="10540"/>
          </w:cols>
          <w:pgMar w:left="1120" w:top="355" w:right="239" w:bottom="1440" w:gutter="0" w:footer="0" w:header="0"/>
        </w:sectPr>
      </w:pPr>
    </w:p>
    <w:bookmarkStart w:id="6" w:name="page7"/>
    <w:bookmarkEnd w:id="6"/>
    <w:p>
      <w:pPr>
        <w:ind w:left="880" w:right="40"/>
        <w:spacing w:after="0" w:line="251" w:lineRule="auto"/>
        <w:rPr>
          <w:sz w:val="20"/>
          <w:szCs w:val="20"/>
          <w:color w:val="auto"/>
        </w:rPr>
      </w:pPr>
      <w:r>
        <w:rPr>
          <w:rFonts w:ascii="Arial" w:cs="Arial" w:eastAsia="Arial" w:hAnsi="Arial"/>
          <w:sz w:val="18"/>
          <w:szCs w:val="18"/>
          <w:color w:val="auto"/>
        </w:rPr>
        <w:t>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As used in this Section 9.22, the following terms have the following meanings:</w:t>
      </w:r>
    </w:p>
    <w:p>
      <w:pPr>
        <w:spacing w:after="0" w:line="225" w:lineRule="exact"/>
        <w:rPr>
          <w:sz w:val="20"/>
          <w:szCs w:val="20"/>
          <w:color w:val="auto"/>
        </w:rPr>
      </w:pPr>
    </w:p>
    <w:p>
      <w:pPr>
        <w:ind w:left="1880" w:right="1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520" w:hanging="216"/>
        <w:spacing w:after="0"/>
        <w:tabs>
          <w:tab w:leader="none" w:pos="2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560" w:hanging="256"/>
        <w:spacing w:after="0"/>
        <w:tabs>
          <w:tab w:leader="none" w:pos="2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600" w:hanging="296"/>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880" w:right="4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96" w:lineRule="exact"/>
        <w:rPr>
          <w:sz w:val="20"/>
          <w:szCs w:val="20"/>
          <w:color w:val="auto"/>
        </w:rPr>
      </w:pPr>
    </w:p>
    <w:p>
      <w:pPr>
        <w:ind w:left="1880" w:right="4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8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to Effectiveness of Agreement</w:t>
      </w:r>
      <w:r>
        <w:rPr>
          <w:rFonts w:ascii="Arial" w:cs="Arial" w:eastAsia="Arial" w:hAnsi="Arial"/>
          <w:sz w:val="18"/>
          <w:szCs w:val="18"/>
          <w:color w:val="auto"/>
        </w:rPr>
        <w:t>. The amendment of the Existing Credit Agreement and associated provisions set forth herein shall become effective as of the first date on which the following occur or have been waived in accordance with Section 9.01 of the Existing Credit Agreement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w:t>
      </w:r>
    </w:p>
    <w:p>
      <w:pPr>
        <w:spacing w:after="0" w:line="195" w:lineRule="exact"/>
        <w:rPr>
          <w:sz w:val="20"/>
          <w:szCs w:val="20"/>
          <w:color w:val="auto"/>
        </w:rPr>
      </w:pPr>
    </w:p>
    <w:p>
      <w:pPr>
        <w:ind w:firstLine="1305"/>
        <w:spacing w:after="0" w:line="262" w:lineRule="auto"/>
        <w:tabs>
          <w:tab w:leader="none" w:pos="21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Administrative Agent shall have received duly executed counterparts of this Agreement from (A) the Loan Parties, (B) Lenders constituting the Required Lenders and (C) the Administrative Agent.</w:t>
      </w:r>
    </w:p>
    <w:p>
      <w:pPr>
        <w:spacing w:after="0" w:line="196" w:lineRule="exact"/>
        <w:rPr>
          <w:rFonts w:ascii="Arial" w:cs="Arial" w:eastAsia="Arial" w:hAnsi="Arial"/>
          <w:sz w:val="18"/>
          <w:szCs w:val="18"/>
          <w:color w:val="auto"/>
        </w:rPr>
      </w:pPr>
    </w:p>
    <w:p>
      <w:pPr>
        <w:ind w:left="2160" w:hanging="855"/>
        <w:spacing w:after="0"/>
        <w:tabs>
          <w:tab w:leader="none" w:pos="2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representations and warranties made in this Agreement shall be true and correct in all material respects.</w:t>
      </w:r>
    </w:p>
    <w:p>
      <w:pPr>
        <w:spacing w:after="0" w:line="225"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The Administrative Agent shall notify the Borrower, the Revolving Credit Lenders, the Term Advance Lenders and the Tranche B Lenders of the First Amendment Effective Date, and such notice shall be conclusive and binding absent manifest error.</w:t>
      </w:r>
    </w:p>
    <w:p>
      <w:pPr>
        <w:spacing w:after="0" w:line="19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For purposes of determining compliance with the conditions specified above, each Lender party to this Agreement shall be deemed to have consented to, approved or accepted or to be satisfied with each document or other matter required hereunder to be consented to or approved by or acceptable or satisfactory to such Person unless an officer of the Administrative Agent responsible for the transactions contemplated by the Loan Documents shall have received written notice from such Person prior to the First Amendment Effective Date specifying its objection thereto.</w:t>
      </w:r>
    </w:p>
    <w:p>
      <w:pPr>
        <w:sectPr>
          <w:pgSz w:w="11900" w:h="16838" w:orient="portrait"/>
          <w:cols w:equalWidth="0" w:num="1">
            <w:col w:w="11420"/>
          </w:cols>
          <w:pgMar w:left="240" w:top="355" w:right="239" w:bottom="1440" w:gutter="0" w:footer="0" w:header="0"/>
        </w:sectPr>
      </w:pPr>
    </w:p>
    <w:bookmarkStart w:id="7" w:name="page8"/>
    <w:bookmarkEnd w:id="7"/>
    <w:p>
      <w:pPr>
        <w:ind w:left="1300"/>
        <w:spacing w:after="0"/>
        <w:tabs>
          <w:tab w:leader="none" w:pos="3600" w:val="left"/>
          <w:tab w:leader="none" w:pos="6540" w:val="left"/>
          <w:tab w:leader="none" w:pos="7000" w:val="left"/>
          <w:tab w:leader="none" w:pos="7880" w:val="left"/>
          <w:tab w:leader="none" w:pos="8580" w:val="left"/>
          <w:tab w:leader="none" w:pos="9560" w:val="left"/>
          <w:tab w:leader="none" w:pos="10020" w:val="left"/>
          <w:tab w:leader="none" w:pos="10840" w:val="left"/>
          <w:tab w:leader="none" w:pos="111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w:t>
        <w:tab/>
        <w:t>Borrower</w:t>
        <w:tab/>
        <w:t>hereby</w:t>
        <w:tab/>
        <w:t>represents</w:t>
        <w:tab/>
        <w:t>and</w:t>
        <w:tab/>
        <w:t>warrants</w:t>
        <w:tab/>
        <w:t>to</w:t>
        <w:tab/>
        <w:t>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each Lender on the First Amendment Effective Date that:</w:t>
      </w:r>
    </w:p>
    <w:p>
      <w:pPr>
        <w:spacing w:after="0" w:line="225" w:lineRule="exact"/>
        <w:rPr>
          <w:sz w:val="20"/>
          <w:szCs w:val="20"/>
          <w:color w:val="auto"/>
        </w:rPr>
      </w:pPr>
    </w:p>
    <w:p>
      <w:pPr>
        <w:jc w:val="both"/>
        <w:ind w:firstLine="1305"/>
        <w:spacing w:after="0" w:line="254" w:lineRule="auto"/>
        <w:tabs>
          <w:tab w:leader="none" w:pos="21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Borrower and constitutes a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4" w:lineRule="exact"/>
        <w:rPr>
          <w:rFonts w:ascii="Arial" w:cs="Arial" w:eastAsia="Arial" w:hAnsi="Arial"/>
          <w:sz w:val="18"/>
          <w:szCs w:val="18"/>
          <w:color w:val="auto"/>
        </w:rPr>
      </w:pPr>
    </w:p>
    <w:p>
      <w:pPr>
        <w:jc w:val="both"/>
        <w:ind w:firstLine="1305"/>
        <w:spacing w:after="0" w:line="252" w:lineRule="auto"/>
        <w:tabs>
          <w:tab w:leader="none" w:pos="21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the Loan Documents are true and correct (i) in the case of the representations and warranties qualified or modified as to materiality in the text thereof, in all respects and (ii) otherwise, in all material respects, in each case on and as of the First Amendment Effective Date, except in the case of any such representation and warranty that expressly relates to an earlier date, in which case such representation and warranty shall be so true and correct, or true and correct in all material respects, as applicable, on and as of such earlier date, and except that the representations and warranties contained in Section 4.01(e) of the Existing Credit Agreement will be deemed to refer to the most recent annual and quarterly financial statements that have been delivered pursuant to Section 5.01(i) of the Existing Credit Agreement.</w:t>
      </w:r>
    </w:p>
    <w:p>
      <w:pPr>
        <w:spacing w:after="0" w:line="207" w:lineRule="exact"/>
        <w:rPr>
          <w:rFonts w:ascii="Arial" w:cs="Arial" w:eastAsia="Arial" w:hAnsi="Arial"/>
          <w:sz w:val="18"/>
          <w:szCs w:val="18"/>
          <w:color w:val="auto"/>
        </w:rPr>
      </w:pPr>
    </w:p>
    <w:p>
      <w:pPr>
        <w:ind w:left="2160" w:hanging="855"/>
        <w:spacing w:after="0"/>
        <w:tabs>
          <w:tab w:leader="none" w:pos="2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result from the transactions provided for in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this Agreement.</w:t>
      </w:r>
    </w:p>
    <w:p>
      <w:pPr>
        <w:spacing w:after="0" w:line="21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Effects on Loan Documents; No Novation</w:t>
      </w:r>
      <w:r>
        <w:rPr>
          <w:rFonts w:ascii="Arial" w:cs="Arial" w:eastAsia="Arial" w:hAnsi="Arial"/>
          <w:sz w:val="18"/>
          <w:szCs w:val="18"/>
          <w:color w:val="auto"/>
        </w:rPr>
        <w:t>. (a) Except as expressly set forth herein, this Agreement shall not alter, modify, amend or in any way affect any of the terms, conditions, obligations, covenants or agreements contained in the Existing Credit Agreement, the Amended Credit Agreement or any other Loan Document, all of which shall continue to be in full force and effect and are hereby in all respects ratified and confirmed.</w:t>
      </w:r>
    </w:p>
    <w:p>
      <w:pPr>
        <w:spacing w:after="0" w:line="200" w:lineRule="exact"/>
        <w:rPr>
          <w:sz w:val="20"/>
          <w:szCs w:val="20"/>
          <w:color w:val="auto"/>
        </w:rPr>
      </w:pPr>
    </w:p>
    <w:p>
      <w:pPr>
        <w:jc w:val="both"/>
        <w:ind w:firstLine="1305"/>
        <w:spacing w:after="0" w:line="252" w:lineRule="auto"/>
        <w:tabs>
          <w:tab w:leader="none" w:pos="15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expressly set forth herein, the execution, delivery and effectiveness of this Agreement shall not operate as a waiver of any right, power or remedy of any Lender or the Administrative Agent under any of the Loan Documents, nor constitute a waiver of any provision of the Loan Documents or in any way limit, impair or otherwise affect the rights and remedies of the Administrative Agent or the Lenders under the Loan Documents. Nothing herein shall be deemed to entitle the Borrower or any other Loan Party to a consent to, or a waiver, amendment, modification or other change of, any of the terms, conditions, obligations, covenants or agreements contained in the Amended Credit Agreement or any other Loan Document in similar or different circumstances.</w:t>
      </w:r>
    </w:p>
    <w:p>
      <w:pPr>
        <w:spacing w:after="0" w:line="208" w:lineRule="exact"/>
        <w:rPr>
          <w:rFonts w:ascii="Arial" w:cs="Arial" w:eastAsia="Arial" w:hAnsi="Arial"/>
          <w:sz w:val="18"/>
          <w:szCs w:val="18"/>
          <w:color w:val="auto"/>
        </w:rPr>
      </w:pPr>
    </w:p>
    <w:p>
      <w:pPr>
        <w:jc w:val="both"/>
        <w:ind w:firstLine="1305"/>
        <w:spacing w:after="0" w:line="253" w:lineRule="auto"/>
        <w:tabs>
          <w:tab w:leader="none" w:pos="15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and after the First Amendment Effective Date, each reference in the Amended Credit Agreement to “this Agreement”, “hereunder”, “hereof”, “herein” or words of like import, and each reference to the “Credit Agreement”, “thereunder”, “thereof”, “therein” or words of like import in any other Loan Document, shall be deemed a reference to the Amended Credit Agreement. The Borrower and the other parties hereto acknowledge and agree that this Agreement shall constitute a Loan Document for all purposes of the Existing Credit Agreement, the Amended Credit Agreement and the other Loan Documents.</w:t>
      </w:r>
    </w:p>
    <w:p>
      <w:pPr>
        <w:spacing w:after="0" w:line="205" w:lineRule="exact"/>
        <w:rPr>
          <w:rFonts w:ascii="Arial" w:cs="Arial" w:eastAsia="Arial" w:hAnsi="Arial"/>
          <w:sz w:val="18"/>
          <w:szCs w:val="18"/>
          <w:color w:val="auto"/>
        </w:rPr>
      </w:pPr>
    </w:p>
    <w:p>
      <w:pPr>
        <w:jc w:val="both"/>
        <w:ind w:firstLine="1305"/>
        <w:spacing w:after="0" w:line="252" w:lineRule="auto"/>
        <w:tabs>
          <w:tab w:leader="none" w:pos="15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this Agreement nor the effectiveness of the Amended Credit Agreement shall extinguish the obligations for the payment of money outstanding under the Existing Credit Agreement or discharge or release the Lien or priority of any Security and Guarantee Document or any other security therefor or any guarantee thereof. Nothing herein contained shall be construed as a substitution or novation of the Obligations outstanding under the Existing Credit Agreement or the Security and Guarantee Documents or instruments guaranteeing or securing the same, which shall remain in full force and effect, except as may be expressly modified hereby. Nothing expressed or implied in this Agreement, the Amended Credit Agreement or any other document contemplated hereby or thereby shall be construed as a release or other discharge of any Loan Party under any Loan Document from any of its obligations and liabilities thereunder.</w:t>
      </w:r>
    </w:p>
    <w:p>
      <w:pPr>
        <w:spacing w:after="0" w:line="19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agrees to take any further action that is reasonably requested by Administrative Agent to effect the purposes of this Agreement and the transactions contemplated hereby.</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APPLICABLE LAW, JURISDICTION, WAIVER OF JURY TRIAL</w:t>
      </w:r>
      <w:r>
        <w:rPr>
          <w:rFonts w:ascii="Arial" w:cs="Arial" w:eastAsia="Arial" w:hAnsi="Arial"/>
          <w:sz w:val="18"/>
          <w:szCs w:val="18"/>
          <w:color w:val="auto"/>
        </w:rPr>
        <w:t xml:space="preserve">. THE PROVISIONS OF SECTIONS 9.09, 9.12 AND 9.17 OF THE EXISTING CREDIT AGREEMENT ARE HEREBY INCORPORATED BY REFERENCE HEREIN,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ectPr>
          <w:pgSz w:w="11900" w:h="16838" w:orient="portrait"/>
          <w:cols w:equalWidth="0" w:num="1">
            <w:col w:w="11420"/>
          </w:cols>
          <w:pgMar w:left="240" w:top="341" w:right="239" w:bottom="1440" w:gutter="0" w:footer="0" w:header="0"/>
        </w:sectPr>
      </w:pPr>
    </w:p>
    <w:bookmarkStart w:id="8" w:name="page9"/>
    <w:bookmarkEnd w:id="8"/>
    <w:p>
      <w:pPr>
        <w:jc w:val="both"/>
        <w:ind w:firstLine="1297"/>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email shall be effective as delivery of a manually executed counterpart of this Agreement.</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respective parties hereto shall be given in the manner, and become effective, as set forth in Section 9.02 of the Amended Credit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341" w:right="239" w:bottom="1440" w:gutter="0" w:footer="0" w:header="0"/>
        </w:sectPr>
      </w:pPr>
    </w:p>
    <w:bookmarkStart w:id="9" w:name="page10"/>
    <w:bookmarkEnd w:id="9"/>
    <w:p>
      <w:pPr>
        <w:ind w:firstLine="1297"/>
        <w:spacing w:after="0" w:line="262"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67" w:lineRule="exact"/>
        <w:rPr>
          <w:sz w:val="20"/>
          <w:szCs w:val="20"/>
          <w:color w:val="auto"/>
        </w:rPr>
      </w:pPr>
    </w:p>
    <w:p>
      <w:pPr>
        <w:ind w:left="570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J.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61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Name:Patrick J. McGee</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SAIC INTERNATIONAL HOLDINGS, INC.</w:t>
      </w:r>
    </w:p>
    <w:p>
      <w:pPr>
        <w:spacing w:after="0" w:line="67" w:lineRule="exact"/>
        <w:rPr>
          <w:sz w:val="20"/>
          <w:szCs w:val="20"/>
          <w:color w:val="auto"/>
        </w:rPr>
      </w:pPr>
    </w:p>
    <w:p>
      <w:pPr>
        <w:ind w:left="570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J.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61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Name:Patrick J. McGee</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SAIC GEMINI HUNTSVILLE, LLC</w:t>
      </w:r>
    </w:p>
    <w:p>
      <w:pPr>
        <w:spacing w:after="0" w:line="67" w:lineRule="exact"/>
        <w:rPr>
          <w:sz w:val="20"/>
          <w:szCs w:val="20"/>
          <w:color w:val="auto"/>
        </w:rPr>
      </w:pPr>
    </w:p>
    <w:p>
      <w:pPr>
        <w:ind w:left="570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J.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61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Name:Patrick J. McGee</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ODYSSEY DRIVE I, LTD. A CALIFORNIA LIMITED PARTNERSHIP</w:t>
      </w:r>
    </w:p>
    <w:p>
      <w:pPr>
        <w:spacing w:after="0" w:line="67" w:lineRule="exact"/>
        <w:rPr>
          <w:sz w:val="20"/>
          <w:szCs w:val="20"/>
          <w:color w:val="auto"/>
        </w:rPr>
      </w:pPr>
    </w:p>
    <w:p>
      <w:pPr>
        <w:ind w:left="570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J.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61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Name:Patrick J. McGee</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11420"/>
          </w:cols>
          <w:pgMar w:left="240" w:top="719" w:right="239" w:bottom="1440" w:gutter="0" w:footer="0" w:header="0"/>
        </w:sectPr>
      </w:pPr>
    </w:p>
    <w:bookmarkStart w:id="10" w:name="page11"/>
    <w:bookmarkEnd w:id="10"/>
    <w:p>
      <w:pPr>
        <w:spacing w:after="0" w:line="140" w:lineRule="exact"/>
        <w:rPr>
          <w:sz w:val="20"/>
          <w:szCs w:val="20"/>
          <w:color w:val="auto"/>
        </w:rPr>
      </w:pPr>
    </w:p>
    <w:p>
      <w:pPr>
        <w:jc w:val="right"/>
        <w:ind w:right="2139"/>
        <w:spacing w:after="0"/>
        <w:rPr>
          <w:sz w:val="20"/>
          <w:szCs w:val="20"/>
          <w:color w:val="auto"/>
        </w:rPr>
      </w:pPr>
      <w:r>
        <w:rPr>
          <w:rFonts w:ascii="Arial" w:cs="Arial" w:eastAsia="Arial" w:hAnsi="Arial"/>
          <w:sz w:val="18"/>
          <w:szCs w:val="18"/>
          <w:b w:val="1"/>
          <w:bCs w:val="1"/>
          <w:color w:val="auto"/>
        </w:rPr>
        <w:t>ENGILITY HOLDINGS, LLC</w:t>
      </w:r>
    </w:p>
    <w:p>
      <w:pPr>
        <w:spacing w:after="0" w:line="67"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/s/ Patrick J. McGee</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30480</wp:posOffset>
            </wp:positionV>
            <wp:extent cx="3061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Name:Patrick J. McGee</w:t>
      </w:r>
    </w:p>
    <w:p>
      <w:pPr>
        <w:spacing w:after="0" w:line="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ENGILITY SERVICES, LLC</w:t>
      </w:r>
    </w:p>
    <w:p>
      <w:pPr>
        <w:spacing w:after="0" w:line="6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Patrick J. McGee</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30480</wp:posOffset>
            </wp:positionV>
            <wp:extent cx="3061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Name:Patrick J. McGee</w:t>
      </w:r>
    </w:p>
    <w:p>
      <w:pPr>
        <w:spacing w:after="0" w:line="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ENGILITY LLC</w:t>
      </w:r>
    </w:p>
    <w:p>
      <w:pPr>
        <w:spacing w:after="0" w:line="6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Patrick J. McGee</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30480</wp:posOffset>
            </wp:positionV>
            <wp:extent cx="3061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Name:Patrick J. McGee</w:t>
      </w:r>
    </w:p>
    <w:p>
      <w:pPr>
        <w:spacing w:after="0" w:line="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ATAC SERVICES, LLC</w:t>
      </w:r>
    </w:p>
    <w:p>
      <w:pPr>
        <w:spacing w:after="0" w:line="6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Patrick J. McGee</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30480</wp:posOffset>
            </wp:positionV>
            <wp:extent cx="3061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Name:Patrick J. McGee</w:t>
      </w:r>
    </w:p>
    <w:p>
      <w:pPr>
        <w:spacing w:after="0" w:line="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TASC SERVICES CORPORATION</w:t>
      </w:r>
    </w:p>
    <w:p>
      <w:pPr>
        <w:spacing w:after="0" w:line="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Patrick J. McGee</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30480</wp:posOffset>
            </wp:positionV>
            <wp:extent cx="3061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Name:Patrick J. McGee</w:t>
      </w:r>
    </w:p>
    <w:p>
      <w:pPr>
        <w:spacing w:after="0" w:line="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9019"/>
          </w:cols>
          <w:pgMar w:left="1440" w:top="1440" w:right="1440" w:bottom="1440" w:gutter="0" w:footer="0" w:header="0"/>
        </w:sectPr>
      </w:pPr>
    </w:p>
    <w:bookmarkStart w:id="11" w:name="page12"/>
    <w:bookmarkEnd w:id="11"/>
    <w:p>
      <w:pPr>
        <w:ind w:left="2700"/>
        <w:spacing w:after="0" w:line="287" w:lineRule="auto"/>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the Administrative Agent, the Collateral Agent, as a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and as a Term Advance Lender</w:t>
      </w:r>
    </w:p>
    <w:p>
      <w:pPr>
        <w:spacing w:after="0" w:line="200" w:lineRule="exact"/>
        <w:rPr>
          <w:sz w:val="20"/>
          <w:szCs w:val="20"/>
          <w:color w:val="auto"/>
        </w:rPr>
      </w:pPr>
    </w:p>
    <w:p>
      <w:pPr>
        <w:spacing w:after="0" w:line="245" w:lineRule="exact"/>
        <w:rPr>
          <w:sz w:val="20"/>
          <w:szCs w:val="20"/>
          <w:color w:val="auto"/>
        </w:rPr>
      </w:pPr>
    </w:p>
    <w:p>
      <w:pPr>
        <w:ind w:left="450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31750</wp:posOffset>
            </wp:positionV>
            <wp:extent cx="3061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Name:Tom Cole</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20"/>
          </w:cols>
          <w:pgMar w:left="1440" w:top="778" w:right="239" w:bottom="1440" w:gutter="0" w:footer="0" w:header="0"/>
        </w:sectPr>
      </w:pPr>
    </w:p>
    <w:bookmarkStart w:id="12" w:name="page13"/>
    <w:bookmarkEnd w:id="12"/>
    <w:p>
      <w:pPr>
        <w:ind w:left="27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Revolving Credit Lender and as a Term Advance Lender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Thor O'Connell</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Name:Thor O’Connell</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Vice President</w:t>
            </w:r>
          </w:p>
        </w:tc>
      </w:tr>
    </w:tbl>
    <w:p>
      <w:pPr>
        <w:sectPr>
          <w:pgSz w:w="11900" w:h="16838" w:orient="portrait"/>
          <w:cols w:equalWidth="0" w:num="1">
            <w:col w:w="10220"/>
          </w:cols>
          <w:pgMar w:left="1440" w:top="981" w:right="239" w:bottom="1440" w:gutter="0" w:footer="0" w:header="0"/>
        </w:sectPr>
      </w:pPr>
    </w:p>
    <w:bookmarkStart w:id="13" w:name="page14"/>
    <w:bookmarkEnd w:id="13"/>
    <w:p>
      <w:pPr>
        <w:ind w:left="2700"/>
        <w:spacing w:after="0"/>
        <w:rPr>
          <w:sz w:val="20"/>
          <w:szCs w:val="20"/>
          <w:color w:val="auto"/>
        </w:rPr>
      </w:pPr>
      <w:r>
        <w:rPr>
          <w:rFonts w:ascii="Arial" w:cs="Arial" w:eastAsia="Arial" w:hAnsi="Arial"/>
          <w:sz w:val="18"/>
          <w:szCs w:val="18"/>
          <w:b w:val="1"/>
          <w:bCs w:val="1"/>
          <w:color w:val="auto"/>
        </w:rPr>
        <w:t xml:space="preserve">MUFG BANK, LTD., </w:t>
      </w:r>
      <w:r>
        <w:rPr>
          <w:rFonts w:ascii="Arial" w:cs="Arial" w:eastAsia="Arial" w:hAnsi="Arial"/>
          <w:sz w:val="18"/>
          <w:szCs w:val="18"/>
          <w:color w:val="auto"/>
        </w:rPr>
        <w:t>as a Revolving Credit Lender and as a Term Advance Lender</w:t>
      </w:r>
    </w:p>
    <w:p>
      <w:pPr>
        <w:spacing w:after="0" w:line="328"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Dominic Yung</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Name:Dominic Yung</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Director</w:t>
            </w:r>
          </w:p>
        </w:tc>
      </w:tr>
    </w:tbl>
    <w:p>
      <w:pPr>
        <w:sectPr>
          <w:pgSz w:w="11900" w:h="16838" w:orient="portrait"/>
          <w:cols w:equalWidth="0" w:num="1">
            <w:col w:w="10220"/>
          </w:cols>
          <w:pgMar w:left="1440" w:top="886" w:right="239" w:bottom="1440" w:gutter="0" w:footer="0" w:header="0"/>
        </w:sectPr>
      </w:pPr>
    </w:p>
    <w:bookmarkStart w:id="14" w:name="page15"/>
    <w:bookmarkEnd w:id="14"/>
    <w:p>
      <w:pPr>
        <w:ind w:left="2700"/>
        <w:spacing w:after="0" w:line="287" w:lineRule="auto"/>
        <w:rPr>
          <w:sz w:val="20"/>
          <w:szCs w:val="20"/>
          <w:color w:val="auto"/>
        </w:rPr>
      </w:pPr>
      <w:r>
        <w:rPr>
          <w:rFonts w:ascii="Arial" w:cs="Arial" w:eastAsia="Arial" w:hAnsi="Arial"/>
          <w:sz w:val="18"/>
          <w:szCs w:val="18"/>
          <w:b w:val="1"/>
          <w:bCs w:val="1"/>
          <w:color w:val="auto"/>
        </w:rPr>
        <w:t xml:space="preserve">PNC BANK, NATIONAL ASSOCIATION, </w:t>
      </w:r>
      <w:r>
        <w:rPr>
          <w:rFonts w:ascii="Arial" w:cs="Arial" w:eastAsia="Arial" w:hAnsi="Arial"/>
          <w:sz w:val="18"/>
          <w:szCs w:val="18"/>
          <w:color w:val="auto"/>
        </w:rPr>
        <w:t>as a Revolving Credit Lender and as a Term</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Lender</w:t>
      </w:r>
    </w:p>
    <w:p>
      <w:pPr>
        <w:spacing w:after="0" w:line="148"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Eric H. Williams</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Name:Eric H. Williams</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Senior Vice President</w:t>
            </w:r>
          </w:p>
        </w:tc>
      </w:tr>
    </w:tbl>
    <w:p>
      <w:pPr>
        <w:sectPr>
          <w:pgSz w:w="11900" w:h="16838" w:orient="portrait"/>
          <w:cols w:equalWidth="0" w:num="1">
            <w:col w:w="10220"/>
          </w:cols>
          <w:pgMar w:left="1440" w:top="913" w:right="239" w:bottom="1440" w:gutter="0" w:footer="0" w:header="0"/>
        </w:sectPr>
      </w:pPr>
    </w:p>
    <w:bookmarkStart w:id="15" w:name="page16"/>
    <w:bookmarkEnd w:id="15"/>
    <w:p>
      <w:pPr>
        <w:ind w:left="2700" w:right="20"/>
        <w:spacing w:after="0" w:line="287" w:lineRule="auto"/>
        <w:rPr>
          <w:sz w:val="20"/>
          <w:szCs w:val="20"/>
          <w:color w:val="auto"/>
        </w:rPr>
      </w:pPr>
      <w:r>
        <w:rPr>
          <w:rFonts w:ascii="Arial" w:cs="Arial" w:eastAsia="Arial" w:hAnsi="Arial"/>
          <w:sz w:val="18"/>
          <w:szCs w:val="18"/>
          <w:b w:val="1"/>
          <w:bCs w:val="1"/>
          <w:color w:val="auto"/>
        </w:rPr>
        <w:t>TRUIST BANK, AS SUCCESSOR BY MERGER TO SUNTRUST BANK</w:t>
      </w:r>
      <w:r>
        <w:rPr>
          <w:rFonts w:ascii="Arial" w:cs="Arial" w:eastAsia="Arial" w:hAnsi="Arial"/>
          <w:sz w:val="18"/>
          <w:szCs w:val="18"/>
          <w:color w:val="auto"/>
        </w:rPr>
        <w:t>, as a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Lender and as a Term Advance Lender</w:t>
      </w:r>
    </w:p>
    <w:p>
      <w:pPr>
        <w:spacing w:after="0" w:line="28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Thomas Parrott</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Name:Thomas Parrott</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Managing Director</w:t>
            </w:r>
          </w:p>
        </w:tc>
      </w:tr>
    </w:tbl>
    <w:p>
      <w:pPr>
        <w:sectPr>
          <w:pgSz w:w="11900" w:h="16838" w:orient="portrait"/>
          <w:cols w:equalWidth="0" w:num="1">
            <w:col w:w="10220"/>
          </w:cols>
          <w:pgMar w:left="1440" w:top="805" w:right="239" w:bottom="1440" w:gutter="0" w:footer="0" w:header="0"/>
        </w:sectPr>
      </w:pPr>
    </w:p>
    <w:bookmarkStart w:id="16" w:name="page17"/>
    <w:bookmarkEnd w:id="16"/>
    <w:p>
      <w:pPr>
        <w:ind w:left="2700"/>
        <w:spacing w:after="0" w:line="287" w:lineRule="auto"/>
        <w:rPr>
          <w:sz w:val="20"/>
          <w:szCs w:val="20"/>
          <w:color w:val="auto"/>
        </w:rPr>
      </w:pPr>
      <w:r>
        <w:rPr>
          <w:rFonts w:ascii="Arial" w:cs="Arial" w:eastAsia="Arial" w:hAnsi="Arial"/>
          <w:sz w:val="18"/>
          <w:szCs w:val="18"/>
          <w:b w:val="1"/>
          <w:bCs w:val="1"/>
          <w:color w:val="040404"/>
        </w:rPr>
        <w:t xml:space="preserve">U.S. BANK NATIONAL ASSOCIATION, </w:t>
      </w:r>
      <w:r>
        <w:rPr>
          <w:rFonts w:ascii="Arial" w:cs="Arial" w:eastAsia="Arial" w:hAnsi="Arial"/>
          <w:sz w:val="18"/>
          <w:szCs w:val="18"/>
          <w:color w:val="040404"/>
        </w:rPr>
        <w:t>as a Revolving Credit Lender and as a Term</w:t>
      </w:r>
      <w:r>
        <w:rPr>
          <w:rFonts w:ascii="Arial" w:cs="Arial" w:eastAsia="Arial" w:hAnsi="Arial"/>
          <w:sz w:val="18"/>
          <w:szCs w:val="18"/>
          <w:b w:val="1"/>
          <w:bCs w:val="1"/>
          <w:color w:val="040404"/>
        </w:rPr>
        <w:t xml:space="preserve"> </w:t>
      </w:r>
      <w:r>
        <w:rPr>
          <w:rFonts w:ascii="Arial" w:cs="Arial" w:eastAsia="Arial" w:hAnsi="Arial"/>
          <w:sz w:val="18"/>
          <w:szCs w:val="18"/>
          <w:color w:val="040404"/>
        </w:rPr>
        <w:t>Advance Lender</w:t>
      </w:r>
    </w:p>
    <w:p>
      <w:pPr>
        <w:spacing w:after="0" w:line="32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Lukas Coleman</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Name:Lukas Coleman</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Vice President</w:t>
            </w:r>
          </w:p>
        </w:tc>
      </w:tr>
    </w:tbl>
    <w:p>
      <w:pPr>
        <w:sectPr>
          <w:pgSz w:w="11900" w:h="16838" w:orient="portrait"/>
          <w:cols w:equalWidth="0" w:num="1">
            <w:col w:w="10220"/>
          </w:cols>
          <w:pgMar w:left="1440" w:top="940" w:right="239" w:bottom="1440" w:gutter="0" w:footer="0" w:header="0"/>
        </w:sectPr>
      </w:pPr>
    </w:p>
    <w:bookmarkStart w:id="17" w:name="page18"/>
    <w:bookmarkEnd w:id="17"/>
    <w:p>
      <w:pPr>
        <w:ind w:left="2700"/>
        <w:spacing w:after="0" w:line="287" w:lineRule="auto"/>
        <w:rPr>
          <w:sz w:val="20"/>
          <w:szCs w:val="20"/>
          <w:color w:val="auto"/>
        </w:rPr>
      </w:pPr>
      <w:r>
        <w:rPr>
          <w:rFonts w:ascii="Arial" w:cs="Arial" w:eastAsia="Arial" w:hAnsi="Arial"/>
          <w:sz w:val="18"/>
          <w:szCs w:val="18"/>
          <w:b w:val="1"/>
          <w:bCs w:val="1"/>
          <w:color w:val="auto"/>
        </w:rPr>
        <w:t xml:space="preserve">WELLS FARGO BANK, NATIONAL ASSOCIATION, </w:t>
      </w:r>
      <w:r>
        <w:rPr>
          <w:rFonts w:ascii="Arial" w:cs="Arial" w:eastAsia="Arial" w:hAnsi="Arial"/>
          <w:sz w:val="18"/>
          <w:szCs w:val="18"/>
          <w:color w:val="auto"/>
        </w:rPr>
        <w:t>as a Revolving Credit Lender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Term Advance Lender</w:t>
      </w:r>
    </w:p>
    <w:p>
      <w:pPr>
        <w:spacing w:after="0" w:line="200" w:lineRule="exact"/>
        <w:rPr>
          <w:sz w:val="20"/>
          <w:szCs w:val="20"/>
          <w:color w:val="auto"/>
        </w:rPr>
      </w:pPr>
    </w:p>
    <w:p>
      <w:pPr>
        <w:spacing w:after="0" w:line="245" w:lineRule="exact"/>
        <w:rPr>
          <w:sz w:val="20"/>
          <w:szCs w:val="20"/>
          <w:color w:val="auto"/>
        </w:rPr>
      </w:pPr>
    </w:p>
    <w:p>
      <w:pPr>
        <w:ind w:left="450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Offutt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31750</wp:posOffset>
            </wp:positionV>
            <wp:extent cx="30613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Name:Sarah Offutt</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549" w:right="239" w:bottom="1440" w:gutter="0" w:footer="0" w:header="0"/>
        </w:sectPr>
      </w:pPr>
    </w:p>
    <w:bookmarkStart w:id="18" w:name="page19"/>
    <w:bookmarkEnd w:id="18"/>
    <w:p>
      <w:pPr>
        <w:ind w:left="2700"/>
        <w:spacing w:after="0" w:line="287" w:lineRule="auto"/>
        <w:rPr>
          <w:sz w:val="20"/>
          <w:szCs w:val="20"/>
          <w:color w:val="auto"/>
        </w:rPr>
      </w:pPr>
      <w:r>
        <w:rPr>
          <w:rFonts w:ascii="Arial" w:cs="Arial" w:eastAsia="Arial" w:hAnsi="Arial"/>
          <w:sz w:val="18"/>
          <w:szCs w:val="18"/>
          <w:b w:val="1"/>
          <w:bCs w:val="1"/>
          <w:color w:val="auto"/>
        </w:rPr>
        <w:t xml:space="preserve">CAPITAL ONE, NATIONAL ASSOCIATION </w:t>
      </w:r>
      <w:r>
        <w:rPr>
          <w:rFonts w:ascii="Arial" w:cs="Arial" w:eastAsia="Arial" w:hAnsi="Arial"/>
          <w:sz w:val="18"/>
          <w:szCs w:val="18"/>
          <w:color w:val="auto"/>
        </w:rPr>
        <w:t>as a Revolving Credit Lender and as a Term</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Lender</w:t>
      </w:r>
    </w:p>
    <w:p>
      <w:pPr>
        <w:spacing w:after="0" w:line="33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Joshua Dearmon</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Name:Joshua Dearmon</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Senior Vice President</w:t>
            </w:r>
          </w:p>
        </w:tc>
      </w:tr>
    </w:tbl>
    <w:p>
      <w:pPr>
        <w:sectPr>
          <w:pgSz w:w="11900" w:h="16838" w:orient="portrait"/>
          <w:cols w:equalWidth="0" w:num="1">
            <w:col w:w="10220"/>
          </w:cols>
          <w:pgMar w:left="1440" w:top="1116" w:right="239" w:bottom="1440" w:gutter="0" w:footer="0" w:header="0"/>
        </w:sectPr>
      </w:pPr>
    </w:p>
    <w:bookmarkStart w:id="19" w:name="page20"/>
    <w:bookmarkEnd w:id="19"/>
    <w:p>
      <w:pPr>
        <w:ind w:left="2700"/>
        <w:spacing w:after="0" w:line="287" w:lineRule="auto"/>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Revolving Credit Lender and as a Term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2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Anthony Galea</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Name:Anthony Galea</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Executive Director</w:t>
            </w:r>
          </w:p>
        </w:tc>
      </w:tr>
    </w:tbl>
    <w:p>
      <w:pPr>
        <w:sectPr>
          <w:pgSz w:w="11900" w:h="16838" w:orient="portrait"/>
          <w:cols w:equalWidth="0" w:num="1">
            <w:col w:w="10220"/>
          </w:cols>
          <w:pgMar w:left="1440" w:top="778" w:right="239" w:bottom="1440" w:gutter="0" w:footer="0" w:header="0"/>
        </w:sectPr>
      </w:pPr>
    </w:p>
    <w:bookmarkStart w:id="20" w:name="page21"/>
    <w:bookmarkEnd w:id="20"/>
    <w:p>
      <w:pPr>
        <w:ind w:left="2700" w:right="20"/>
        <w:spacing w:after="0" w:line="287" w:lineRule="auto"/>
        <w:rPr>
          <w:sz w:val="20"/>
          <w:szCs w:val="20"/>
          <w:color w:val="auto"/>
        </w:rPr>
      </w:pPr>
      <w:r>
        <w:rPr>
          <w:rFonts w:ascii="Arial" w:cs="Arial" w:eastAsia="Arial" w:hAnsi="Arial"/>
          <w:sz w:val="18"/>
          <w:szCs w:val="18"/>
          <w:b w:val="1"/>
          <w:bCs w:val="1"/>
          <w:color w:val="auto"/>
        </w:rPr>
        <w:t>SUMITOMO MITSUI BANKING CORPORATAION</w:t>
      </w:r>
      <w:r>
        <w:rPr>
          <w:rFonts w:ascii="Arial" w:cs="Arial" w:eastAsia="Arial" w:hAnsi="Arial"/>
          <w:sz w:val="18"/>
          <w:szCs w:val="18"/>
          <w:color w:val="auto"/>
        </w:rPr>
        <w:t>, as a Revolving Credit Lender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Term Advance Lender</w:t>
      </w:r>
    </w:p>
    <w:p>
      <w:pPr>
        <w:spacing w:after="0" w:line="32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Michael Maguire</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Name:Michael Maguire</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Managing Director</w:t>
            </w:r>
          </w:p>
        </w:tc>
      </w:tr>
    </w:tbl>
    <w:p>
      <w:pPr>
        <w:sectPr>
          <w:pgSz w:w="11900" w:h="16838" w:orient="portrait"/>
          <w:cols w:equalWidth="0" w:num="1">
            <w:col w:w="10220"/>
          </w:cols>
          <w:pgMar w:left="1440" w:top="549" w:right="239" w:bottom="1440" w:gutter="0" w:footer="0" w:header="0"/>
        </w:sectPr>
      </w:pPr>
    </w:p>
    <w:bookmarkStart w:id="21" w:name="page22"/>
    <w:bookmarkEnd w:id="21"/>
    <w:p>
      <w:pPr>
        <w:ind w:left="2700"/>
        <w:spacing w:after="0"/>
        <w:rPr>
          <w:sz w:val="20"/>
          <w:szCs w:val="20"/>
          <w:color w:val="auto"/>
        </w:rPr>
      </w:pPr>
      <w:r>
        <w:rPr>
          <w:rFonts w:ascii="Arial" w:cs="Arial" w:eastAsia="Arial" w:hAnsi="Arial"/>
          <w:sz w:val="18"/>
          <w:szCs w:val="18"/>
          <w:b w:val="1"/>
          <w:bCs w:val="1"/>
          <w:color w:val="auto"/>
        </w:rPr>
        <w:t>TD BANK</w:t>
      </w:r>
      <w:r>
        <w:rPr>
          <w:rFonts w:ascii="Arial" w:cs="Arial" w:eastAsia="Arial" w:hAnsi="Arial"/>
          <w:sz w:val="18"/>
          <w:szCs w:val="18"/>
          <w:color w:val="auto"/>
        </w:rPr>
        <w:t>, as a Revolving Credit Lender and as a Term Advance Lender</w:t>
      </w:r>
    </w:p>
    <w:p>
      <w:pPr>
        <w:spacing w:after="0" w:line="396"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20"/>
              <w:spacing w:after="0"/>
              <w:rPr>
                <w:sz w:val="20"/>
                <w:szCs w:val="20"/>
                <w:color w:val="auto"/>
              </w:rPr>
            </w:pPr>
            <w:r>
              <w:rPr>
                <w:rFonts w:ascii="Arial" w:cs="Arial" w:eastAsia="Arial" w:hAnsi="Arial"/>
                <w:sz w:val="18"/>
                <w:szCs w:val="18"/>
                <w:color w:val="auto"/>
              </w:rPr>
              <w:t>/s/ Emily Chott</w:t>
            </w:r>
          </w:p>
        </w:tc>
      </w:tr>
      <w:tr>
        <w:trPr>
          <w:trHeight w:val="27"/>
        </w:trPr>
        <w:tc>
          <w:tcPr>
            <w:tcW w:w="9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Name:Emily Chott</w:t>
            </w:r>
          </w:p>
        </w:tc>
      </w:tr>
      <w:tr>
        <w:trPr>
          <w:trHeight w:val="270"/>
        </w:trPr>
        <w:tc>
          <w:tcPr>
            <w:tcW w:w="9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Title: Senior Vice President</w:t>
            </w:r>
          </w:p>
        </w:tc>
      </w:tr>
    </w:tbl>
    <w:p>
      <w:pPr>
        <w:spacing w:after="0" w:line="1" w:lineRule="exact"/>
        <w:rPr>
          <w:sz w:val="20"/>
          <w:szCs w:val="20"/>
          <w:color w:val="auto"/>
        </w:rPr>
      </w:pPr>
    </w:p>
    <w:sectPr>
      <w:pgSz w:w="11900" w:h="16838" w:orient="portrait"/>
      <w:cols w:equalWidth="0" w:num="1">
        <w:col w:w="10220"/>
      </w:cols>
      <w:pgMar w:left="14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lowerLetter"/>
      <w:start w:val="3"/>
    </w:lvl>
  </w:abstractNum>
  <w:abstractNum w:abstractNumId="5">
    <w:nsid w:val="1190CDE7"/>
    <w:multiLevelType w:val="hybridMultilevel"/>
    <w:lvl w:ilvl="0">
      <w:lvlJc w:val="left"/>
      <w:lvlText w:val="\ldblquote"/>
      <w:numFmt w:val="bullet"/>
      <w:start w:val="1"/>
    </w:lvl>
    <w:lvl w:ilvl="1">
      <w:lvlJc w:val="left"/>
      <w:lvlText w:val="(%2)"/>
      <w:numFmt w:val="lowerLetter"/>
      <w:start w:val="4"/>
    </w:lvl>
  </w:abstractNum>
  <w:abstractNum w:abstractNumId="6">
    <w:nsid w:val="66EF438D"/>
    <w:multiLevelType w:val="hybridMultilevel"/>
    <w:lvl w:ilvl="0">
      <w:lvlJc w:val="left"/>
      <w:lvlText w:val="(%1)"/>
      <w:numFmt w:val="lowerLetter"/>
      <w:start w:val="6"/>
    </w:lvl>
  </w:abstractNum>
  <w:abstractNum w:abstractNumId="7">
    <w:nsid w:val="140E0F76"/>
    <w:multiLevelType w:val="hybridMultilevel"/>
    <w:lvl w:ilvl="0">
      <w:lvlJc w:val="left"/>
      <w:lvlText w:val="(%1)"/>
      <w:numFmt w:val="lowerLetter"/>
      <w:start w:val="7"/>
    </w:lvl>
  </w:abstractNum>
  <w:abstractNum w:abstractNumId="8">
    <w:nsid w:val="3352255A"/>
    <w:multiLevelType w:val="hybridMultilevel"/>
    <w:lvl w:ilvl="0">
      <w:lvlJc w:val="left"/>
      <w:lvlText w:val="(%1)"/>
      <w:numFmt w:val="lowerRoman"/>
      <w:start w:val="10"/>
    </w:lvl>
  </w:abstractNum>
  <w:abstractNum w:abstractNumId="9">
    <w:nsid w:val="109CF92E"/>
    <w:multiLevelType w:val="hybridMultilevel"/>
    <w:lvl w:ilvl="0">
      <w:lvlJc w:val="left"/>
      <w:lvlText w:val="(%1)"/>
      <w:numFmt w:val="lowerLetter"/>
      <w:start w:val="8"/>
    </w:lvl>
  </w:abstractNum>
  <w:abstractNum w:abstractNumId="10">
    <w:nsid w:val="DED7263"/>
    <w:multiLevelType w:val="hybridMultilevel"/>
    <w:lvl w:ilvl="0">
      <w:lvlJc w:val="left"/>
      <w:lvlText w:val="(%1)"/>
      <w:numFmt w:val="lowerRoman"/>
      <w:start w:val="10"/>
    </w:lvl>
    <w:lvl w:ilvl="1">
      <w:lvlJc w:val="left"/>
      <w:lvlText w:val="(%2)"/>
      <w:numFmt w:val="lowerRoman"/>
      <w:start w:val="1"/>
    </w:lvl>
  </w:abstractNum>
  <w:abstractNum w:abstractNumId="11">
    <w:nsid w:val="7FDCC233"/>
    <w:multiLevelType w:val="hybridMultilevel"/>
    <w:lvl w:ilvl="0">
      <w:lvlJc w:val="left"/>
      <w:lvlText w:val="(%1)"/>
      <w:numFmt w:val="lowerLetter"/>
      <w:start w:val="10"/>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2020-02-24T15:07:22Z</dcterms:created>
  <dcterms:modified xsi:type="dcterms:W3CDTF">2020-02-24T15:07:22Z</dcterms:modified>
</cp:coreProperties>
</file>