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color w:val="auto"/>
        </w:rPr>
        <w:t>Science Applications International Corporation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Delaware</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001-35832</w:t>
            </w:r>
          </w:p>
        </w:tc>
        <w:tc>
          <w:tcPr>
            <w:tcW w:w="1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46-1932921</w:t>
            </w:r>
          </w:p>
        </w:tc>
      </w:tr>
      <w:tr>
        <w:trPr>
          <w:trHeight w:val="216"/>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228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12010 Sunset Hills Road, Reston, VA 20190</w:t>
            </w:r>
          </w:p>
        </w:tc>
        <w:tc>
          <w:tcPr>
            <w:tcW w:w="1780" w:type="dxa"/>
            <w:vAlign w:val="bottom"/>
          </w:tcPr>
          <w:p>
            <w:pPr>
              <w:spacing w:after="0"/>
              <w:rPr>
                <w:sz w:val="24"/>
                <w:szCs w:val="24"/>
                <w:color w:val="auto"/>
              </w:rPr>
            </w:pPr>
          </w:p>
        </w:tc>
      </w:tr>
      <w:tr>
        <w:trPr>
          <w:trHeight w:val="238"/>
        </w:trPr>
        <w:tc>
          <w:tcPr>
            <w:tcW w:w="2280" w:type="dxa"/>
            <w:vAlign w:val="bottom"/>
          </w:tcPr>
          <w:p>
            <w:pPr>
              <w:spacing w:after="0"/>
              <w:rPr>
                <w:sz w:val="20"/>
                <w:szCs w:val="20"/>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80" w:type="dxa"/>
            <w:vAlign w:val="bottom"/>
          </w:tcPr>
          <w:p>
            <w:pPr>
              <w:spacing w:after="0"/>
              <w:rPr>
                <w:sz w:val="20"/>
                <w:szCs w:val="20"/>
                <w:color w:val="auto"/>
              </w:rPr>
            </w:pPr>
          </w:p>
        </w:tc>
      </w:tr>
      <w:tr>
        <w:trPr>
          <w:trHeight w:val="437"/>
        </w:trPr>
        <w:tc>
          <w:tcPr>
            <w:tcW w:w="228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(703) 676-4300</w:t>
            </w:r>
          </w:p>
        </w:tc>
        <w:tc>
          <w:tcPr>
            <w:tcW w:w="1780" w:type="dxa"/>
            <w:vAlign w:val="bottom"/>
          </w:tcPr>
          <w:p>
            <w:pPr>
              <w:spacing w:after="0"/>
              <w:rPr>
                <w:sz w:val="24"/>
                <w:szCs w:val="24"/>
                <w:color w:val="auto"/>
              </w:rPr>
            </w:pPr>
          </w:p>
        </w:tc>
      </w:tr>
      <w:tr>
        <w:trPr>
          <w:trHeight w:val="238"/>
        </w:trPr>
        <w:tc>
          <w:tcPr>
            <w:tcW w:w="2280" w:type="dxa"/>
            <w:vAlign w:val="bottom"/>
          </w:tcPr>
          <w:p>
            <w:pPr>
              <w:spacing w:after="0"/>
              <w:rPr>
                <w:sz w:val="20"/>
                <w:szCs w:val="20"/>
                <w:color w:val="auto"/>
              </w:rPr>
            </w:pPr>
          </w:p>
        </w:tc>
        <w:tc>
          <w:tcPr>
            <w:tcW w:w="5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80" w:type="dxa"/>
            <w:vAlign w:val="bottom"/>
          </w:tcPr>
          <w:p>
            <w:pPr>
              <w:spacing w:after="0"/>
              <w:rPr>
                <w:sz w:val="20"/>
                <w:szCs w:val="20"/>
                <w:color w:val="auto"/>
              </w:rPr>
            </w:pPr>
          </w:p>
        </w:tc>
      </w:tr>
      <w:tr>
        <w:trPr>
          <w:trHeight w:val="437"/>
        </w:trPr>
        <w:tc>
          <w:tcPr>
            <w:tcW w:w="2280" w:type="dxa"/>
            <w:vAlign w:val="bottom"/>
          </w:tcPr>
          <w:p>
            <w:pPr>
              <w:spacing w:after="0"/>
              <w:rPr>
                <w:sz w:val="24"/>
                <w:szCs w:val="24"/>
                <w:color w:val="auto"/>
              </w:rPr>
            </w:pPr>
          </w:p>
        </w:tc>
        <w:tc>
          <w:tcPr>
            <w:tcW w:w="5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780" w:type="dxa"/>
            <w:vAlign w:val="bottom"/>
          </w:tcPr>
          <w:p>
            <w:pPr>
              <w:spacing w:after="0"/>
              <w:rPr>
                <w:sz w:val="24"/>
                <w:szCs w:val="24"/>
                <w:color w:val="auto"/>
              </w:rPr>
            </w:pPr>
          </w:p>
        </w:tc>
      </w:tr>
      <w:tr>
        <w:trPr>
          <w:trHeight w:val="238"/>
        </w:trPr>
        <w:tc>
          <w:tcPr>
            <w:tcW w:w="2280" w:type="dxa"/>
            <w:vAlign w:val="bottom"/>
          </w:tcPr>
          <w:p>
            <w:pPr>
              <w:spacing w:after="0"/>
              <w:rPr>
                <w:sz w:val="20"/>
                <w:szCs w:val="20"/>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80" w:type="dxa"/>
            <w:vAlign w:val="bottom"/>
          </w:tcPr>
          <w:p>
            <w:pPr>
              <w:spacing w:after="0"/>
              <w:rPr>
                <w:sz w:val="20"/>
                <w:szCs w:val="20"/>
                <w:color w:val="auto"/>
              </w:rPr>
            </w:pPr>
          </w:p>
        </w:tc>
      </w:tr>
    </w:tbl>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22" w:right="29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Definitive Material Agreement.</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2.03 regarding the joinder of Engility Holdings, Inc., a Delaware corporation (“</w:t>
      </w:r>
      <w:r>
        <w:rPr>
          <w:rFonts w:ascii="Times New Roman" w:cs="Times New Roman" w:eastAsia="Times New Roman" w:hAnsi="Times New Roman"/>
          <w:sz w:val="18"/>
          <w:szCs w:val="18"/>
          <w:u w:val="single" w:color="auto"/>
          <w:color w:val="auto"/>
        </w:rPr>
        <w:t>Engility</w:t>
      </w:r>
      <w:r>
        <w:rPr>
          <w:rFonts w:ascii="Times New Roman" w:cs="Times New Roman" w:eastAsia="Times New Roman" w:hAnsi="Times New Roman"/>
          <w:sz w:val="18"/>
          <w:szCs w:val="18"/>
          <w:color w:val="auto"/>
        </w:rPr>
        <w:t>”), and all of its wholly owned domestic subsidiaries as loan parties to Science Applications International Corporation’s, a Delaware corporation (“</w:t>
      </w:r>
      <w:r>
        <w:rPr>
          <w:rFonts w:ascii="Times New Roman" w:cs="Times New Roman" w:eastAsia="Times New Roman" w:hAnsi="Times New Roman"/>
          <w:sz w:val="18"/>
          <w:szCs w:val="18"/>
          <w:u w:val="single" w:color="auto"/>
          <w:color w:val="auto"/>
        </w:rPr>
        <w:t>SAIC</w:t>
      </w:r>
      <w:r>
        <w:rPr>
          <w:rFonts w:ascii="Times New Roman" w:cs="Times New Roman" w:eastAsia="Times New Roman" w:hAnsi="Times New Roman"/>
          <w:sz w:val="18"/>
          <w:szCs w:val="18"/>
          <w:color w:val="auto"/>
        </w:rPr>
        <w:t>”), existing credit facility is incorporated by reference into this Item 1.01.</w:t>
      </w:r>
    </w:p>
    <w:p>
      <w:pPr>
        <w:spacing w:after="0" w:line="19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SAIC on September 10, 2018, SAIC, Engility, and Raptors Merger Sub, Inc., a Delaware corporation and wholly owned subsidiary of SAIC (“</w:t>
      </w:r>
      <w:r>
        <w:rPr>
          <w:rFonts w:ascii="Times New Roman" w:cs="Times New Roman" w:eastAsia="Times New Roman" w:hAnsi="Times New Roman"/>
          <w:sz w:val="18"/>
          <w:szCs w:val="18"/>
          <w:u w:val="single" w:color="auto"/>
          <w:color w:val="auto"/>
        </w:rPr>
        <w:t>Merger Subsidiary</w:t>
      </w:r>
      <w:r>
        <w:rPr>
          <w:rFonts w:ascii="Times New Roman" w:cs="Times New Roman" w:eastAsia="Times New Roman" w:hAnsi="Times New Roman"/>
          <w:sz w:val="18"/>
          <w:szCs w:val="18"/>
          <w:color w:val="auto"/>
        </w:rPr>
        <w:t>”), entered into an Agreement and Plan of Merger, dated September 9, 2018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On January 14, 2019, pursuant to the terms and conditions of the Merger Agreement, Merger Subsidiary was merged with and into Engility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Engility surviving as a wholly owned subsidiary of SAIC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outstanding share of common stock, par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of Engility (the “</w:t>
      </w:r>
      <w:r>
        <w:rPr>
          <w:rFonts w:ascii="Times New Roman" w:cs="Times New Roman" w:eastAsia="Times New Roman" w:hAnsi="Times New Roman"/>
          <w:sz w:val="18"/>
          <w:szCs w:val="18"/>
          <w:u w:val="single" w:color="auto"/>
          <w:color w:val="auto"/>
        </w:rPr>
        <w:t>Engility Common Stock</w:t>
      </w:r>
      <w:r>
        <w:rPr>
          <w:rFonts w:ascii="Times New Roman" w:cs="Times New Roman" w:eastAsia="Times New Roman" w:hAnsi="Times New Roman"/>
          <w:sz w:val="18"/>
          <w:szCs w:val="18"/>
          <w:color w:val="auto"/>
        </w:rPr>
        <w:t>”) (other than shares of Engility Common Stock owned by SAIC or Merger Subsidiary and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stock held by Engility, which were cancelled without consideration) outstanding immediately prior to the Merger was automatically cancelled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into the right to receive (i) an amount equal to 0.450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of a share of the common stock of SAIC (the “</w:t>
      </w:r>
      <w:r>
        <w:rPr>
          <w:rFonts w:ascii="Times New Roman" w:cs="Times New Roman" w:eastAsia="Times New Roman" w:hAnsi="Times New Roman"/>
          <w:sz w:val="18"/>
          <w:szCs w:val="18"/>
          <w:u w:val="single" w:color="auto"/>
          <w:color w:val="auto"/>
        </w:rPr>
        <w:t>SAIC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par value $0.0001 per share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 (ii) cash in lieu of fractional shares of SAIC Common Stock as contemplated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w:t>
      </w:r>
    </w:p>
    <w:p>
      <w:pPr>
        <w:spacing w:after="0" w:line="23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Each outstanding Engility restricted stock unit (“</w:t>
      </w:r>
      <w:r>
        <w:rPr>
          <w:rFonts w:ascii="Times New Roman" w:cs="Times New Roman" w:eastAsia="Times New Roman" w:hAnsi="Times New Roman"/>
          <w:sz w:val="18"/>
          <w:szCs w:val="18"/>
          <w:u w:val="single" w:color="auto"/>
          <w:color w:val="auto"/>
        </w:rPr>
        <w:t>Engility RSU</w:t>
      </w:r>
      <w:r>
        <w:rPr>
          <w:rFonts w:ascii="Times New Roman" w:cs="Times New Roman" w:eastAsia="Times New Roman" w:hAnsi="Times New Roman"/>
          <w:sz w:val="18"/>
          <w:szCs w:val="18"/>
          <w:color w:val="auto"/>
        </w:rPr>
        <w:t>”), whether vested or unvested, that was outstanding immediately prior to the Effective Time was, as of the Effective Time, automatically and without any action on the part of the holder thereof, converted into a restricted stock unit award of SAIC (“</w:t>
      </w:r>
      <w:r>
        <w:rPr>
          <w:rFonts w:ascii="Times New Roman" w:cs="Times New Roman" w:eastAsia="Times New Roman" w:hAnsi="Times New Roman"/>
          <w:sz w:val="18"/>
          <w:szCs w:val="18"/>
          <w:u w:val="single" w:color="auto"/>
          <w:color w:val="auto"/>
        </w:rPr>
        <w:t>SAIC RSU</w:t>
      </w:r>
      <w:r>
        <w:rPr>
          <w:rFonts w:ascii="Times New Roman" w:cs="Times New Roman" w:eastAsia="Times New Roman" w:hAnsi="Times New Roman"/>
          <w:sz w:val="18"/>
          <w:szCs w:val="18"/>
          <w:color w:val="auto"/>
        </w:rPr>
        <w:t>”) on the terms and conditions (including, if applicable, any continuing vesting requirements and vesting acceleration terms) under the Engility Second Amended and Restated 2012 Long Term Performance Plan (as amended as of the Effective Time, the “</w:t>
      </w:r>
      <w:r>
        <w:rPr>
          <w:rFonts w:ascii="Times New Roman" w:cs="Times New Roman" w:eastAsia="Times New Roman" w:hAnsi="Times New Roman"/>
          <w:sz w:val="18"/>
          <w:szCs w:val="18"/>
          <w:u w:val="single" w:color="auto"/>
          <w:color w:val="auto"/>
        </w:rPr>
        <w:t>Legacy Engility Plan</w:t>
      </w:r>
      <w:r>
        <w:rPr>
          <w:rFonts w:ascii="Times New Roman" w:cs="Times New Roman" w:eastAsia="Times New Roman" w:hAnsi="Times New Roman"/>
          <w:sz w:val="18"/>
          <w:szCs w:val="18"/>
          <w:color w:val="auto"/>
        </w:rPr>
        <w:t>”) and the applicable award agreement in effect immediately prior to the Effective Time, with respect to a number of shares of SAIC Common Stock, rounded up to the nearest whole share, determined by multiplying (i) the number of Shares subject to such Engility RSU immediately prior to the Effective Time by (ii) the Exchange Ratio.</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Each Engility performance unit (“Engility PU”), whether vested or unvested, that was outstanding immediately prior to the Effective Time was, as of the Effective Time, automatically and without any action on the part of the holder thereof, converted into an SAIC RSU that vests solely based on the passage of time on the terms and conditions (including, if applicable, any continuing vesting requirements and vesting acceleration terms) under the Legacy Engility Plan and applicable award agreement in effect immediately prior to the Effective Time, with respect to a number of shares of SAIC Common Stock, rounded up to the nearest whole share, determined by multiplying (i) the number of shares subject to such Engility PU determined pursuant to the applicable award agreement governing the Engility PU that would vest based on the terms of such agreement by (ii) the Exchange Ratio.</w:t>
      </w:r>
    </w:p>
    <w:p>
      <w:pPr>
        <w:spacing w:after="0" w:line="21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description of the Merger Agreement does not purport to be complete and is qualified in its entirety by reference to the terms of the Merger Agreement, a copy of which was filed as Exhibit 2.1 to the Company’s Current Report on Form 8-K filed with the SEC on September 10, 2018,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Off-Balance-Sheet Arrangement of a Registrant.</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with the SEC by SAIC on September 10, 2018, SAIC entered into a Third Amended &amp; Restated Credit Agreement (the “Credit Agreement”) dated October 31, 2018 with Citibank, N.A. (“Citibank”), as administrative agent and collateral agent, and certain other agents and lenders party thereto, which among other things, established a senior secured term loan “A” credit facility commitment in the amount of $1,068,000,000 (the “</w:t>
      </w:r>
      <w:r>
        <w:rPr>
          <w:rFonts w:ascii="Times New Roman" w:cs="Times New Roman" w:eastAsia="Times New Roman" w:hAnsi="Times New Roman"/>
          <w:sz w:val="18"/>
          <w:szCs w:val="18"/>
          <w:u w:val="single" w:color="auto"/>
          <w:color w:val="auto"/>
        </w:rPr>
        <w:t>Term Loan A</w:t>
      </w:r>
      <w:r>
        <w:rPr>
          <w:rFonts w:ascii="Times New Roman" w:cs="Times New Roman" w:eastAsia="Times New Roman" w:hAnsi="Times New Roman"/>
          <w:sz w:val="18"/>
          <w:szCs w:val="18"/>
          <w:color w:val="auto"/>
        </w:rPr>
        <w:t>”). In connection with the Merger, SAIC borrowed the entire amount of the Term Loan A, the proceeds of which were immediately used to repay Engility’s existing credit facility and outstanding notes and to pay fees and expenses associated with the Merger, with the balance retained by SAIC to be used for general corporate purposes. In addition, upon the effectiveness of the Merger, SAIC’s revolving credit facility commitment under the Credit Agreement was automatically increased by an additional $200,000,000 and certain other terms of the Credit Agreement were automatically amended to reflect the Merger. Proceeds under the revolving credit facility commitment will continue to be available for general corporate purposes.</w:t>
      </w:r>
    </w:p>
    <w:p>
      <w:pPr>
        <w:spacing w:after="0" w:line="2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is secured by substantially all of the assets of SAIC and SAIC’s wholly owned domestic subsidiaries, and is guaranteed by each of SAIC’s wholly owned domestic subsidiaries, which includes, in connection with the Merger, Engility and all of Engility’s wholly owned domestic subsidiaries pursuant to their entry into Supplement No. 1 to the Amended &amp; Restated Guarantee and Collateral Agreement (the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The foregoing description of the Joinder is not complete and is subject to, and qualified in its entirety by, the full text of the Joinder, which is attached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to this Current Report on Form 8-K and incorporated herein by reference.</w:t>
      </w:r>
    </w:p>
    <w:p>
      <w:pPr>
        <w:spacing w:after="0" w:line="21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Term Loan A and under the revolving credit facility commitment will bear interest at a variable rate of interest based on LIBOR or a base rate, plus in each case an applicable margin. Applicable margins with respect to borrowings of the Term Loan A and the revolving credit facility commitment will range from (a) for LIBOR loans, 1.25% to 2.00% and (b) for base rate loans, 0.25% to 1.00%, in each case based on the then applicable Leverage Ratio (as defined in the Credit Agreement). In addition, under the Credit Agreement, SAIC is required to pay certain per annum commitment fees and fees for letters of credit.</w:t>
      </w:r>
    </w:p>
    <w:p>
      <w:pPr>
        <w:spacing w:after="0" w:line="2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Term Loan A will amortize quarterly beginning on January 31, 2020 at 1.25% of the original borrowed amount thereunder, with such quarterly amortization payments increasing to 1.875% on January 31, 2021 and then to 2.50% on January 31, 2022. Beginning with SAIC’s fiscal year ending on or about January 31, 2020, annual mandatory prepayments of a portion of SAIC’s Excess Cash Flow (as defined in the Credit Agreement) will be required. The Term Loan A and the revolving credit facility commitment mature (and the revolving credit facility commitment terminates) on October 31, 2023.</w:t>
      </w:r>
    </w:p>
    <w:p>
      <w:pPr>
        <w:spacing w:after="0" w:line="21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covenants applicable to SAIC and its subsidiaries, which include limitations on: liens; accounting changes, nature of business, hedge agreements, sale leaseback transactions, dividends and issuance of capital stock, further negative pledges, investments, indebtedness, payments of subordinated indebtedness, other indebtedness and agreements, fundamental changes, and asset dispositions. The Credit Agreement also requires the maintenance of a Senior Secured Leverage Ratio (as defined in the Credit Agreement) of not greater than (i) 4.50 to 1.00 for the next succeeding six fiscal quarters, and (iii) 4.00 to 1.00 thereafter; subject to additional modifications as set forth in the Credit Agreement.</w:t>
      </w:r>
    </w:p>
    <w:p>
      <w:pPr>
        <w:spacing w:after="0" w:line="21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including, among others, defaults based on certain bankruptcy and insolvency events, nonpayment, cross-defaults to other debt, breach of specified covenants, ERISA events, material monetary judgments, change of control events, the material inaccuracy of representations and warranties, invalidity of loan documents or a guarantee, and material invalidity of security interests. If an event of default occurs and is continuing under the Credit Agreement, the Credit Agreement provides that the agent shall at the request, or may with the consent, of the required lenders, terminate the commitments thereunder, declare amounts outstanding, including principal and accrued interest and fees, payable immediately, and enforce any and all rights and interests.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description of the Credit Agreement does not purport to be complete and is qualified in its entirety by reference to the terms of the Credit Agreement, a copy of which was filed as Exhibit 10.1 to the Company’s Current Report on Form 8-K filed with the SEC on September 10, 2018,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 w:name="page4"/>
    <w:bookmarkEnd w:id="3"/>
    <w:p>
      <w:pPr>
        <w:ind w:left="1160" w:hanging="1147"/>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for Certain Officers.</w:t>
      </w:r>
    </w:p>
    <w:p>
      <w:pPr>
        <w:spacing w:after="0" w:line="186" w:lineRule="exact"/>
        <w:rPr>
          <w:sz w:val="20"/>
          <w:szCs w:val="20"/>
          <w:color w:val="auto"/>
        </w:rPr>
      </w:pPr>
    </w:p>
    <w:p>
      <w:pPr>
        <w:ind w:right="220" w:firstLine="656"/>
        <w:spacing w:after="0" w:line="266" w:lineRule="auto"/>
        <w:tabs>
          <w:tab w:leader="none" w:pos="10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New Directors</w:t>
      </w:r>
      <w:r>
        <w:rPr>
          <w:rFonts w:ascii="Times New Roman" w:cs="Times New Roman" w:eastAsia="Times New Roman" w:hAnsi="Times New Roman"/>
          <w:sz w:val="18"/>
          <w:szCs w:val="18"/>
          <w:color w:val="auto"/>
        </w:rPr>
        <w:t>. As contemplated by the Merger Agreement, at the Effective Time, the size of the board of directors of SAIC (the “SAIC Board”) was increased from nine to eleven directors and the Board appointed David M. Kerko and Katharina G. McFarland (collectively, the “</w:t>
      </w:r>
      <w:r>
        <w:rPr>
          <w:rFonts w:ascii="Times New Roman" w:cs="Times New Roman" w:eastAsia="Times New Roman" w:hAnsi="Times New Roman"/>
          <w:sz w:val="18"/>
          <w:szCs w:val="18"/>
          <w:u w:val="single" w:color="auto"/>
          <w:color w:val="auto"/>
        </w:rPr>
        <w:t>Engility Designated Directors</w:t>
      </w:r>
      <w:r>
        <w:rPr>
          <w:rFonts w:ascii="Times New Roman" w:cs="Times New Roman" w:eastAsia="Times New Roman" w:hAnsi="Times New Roman"/>
          <w:sz w:val="18"/>
          <w:szCs w:val="18"/>
          <w:color w:val="auto"/>
        </w:rPr>
        <w:t>”) to fill the two newly-created directorships.</w:t>
      </w:r>
    </w:p>
    <w:p>
      <w:pPr>
        <w:spacing w:after="0" w:line="2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Board has determined that each of the Engility Designated Directors is independent. Mr. Kerko was appointed to serve on the Audit Committee and the Human Resources and Compensation Committee of the SAIC Board. Mr. Kerko qualifies both as financially literate and as a financial expert under the NYSE Rules. Ms. McFarland was appointed to serve on the Classified Business Oversight Committee and the Ethics and Corporate Responsibility Committee of the SAIC Board.</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Mr. Kerko served as a director on Engility’s Board of Directors and as a member of Engility’s Nominating/Corporate Governance Committee from February 2015 until the Effective Time. Mr. Kerko has also served as a consultant to Kohlberg Kravis Roberts &amp; Co. L.P. (“</w:t>
      </w:r>
      <w:r>
        <w:rPr>
          <w:rFonts w:ascii="Times New Roman" w:cs="Times New Roman" w:eastAsia="Times New Roman" w:hAnsi="Times New Roman"/>
          <w:sz w:val="18"/>
          <w:szCs w:val="18"/>
          <w:u w:val="single" w:color="auto"/>
          <w:color w:val="auto"/>
        </w:rPr>
        <w:t>KKR</w:t>
      </w:r>
      <w:r>
        <w:rPr>
          <w:rFonts w:ascii="Times New Roman" w:cs="Times New Roman" w:eastAsia="Times New Roman" w:hAnsi="Times New Roman"/>
          <w:sz w:val="18"/>
          <w:szCs w:val="18"/>
          <w:color w:val="auto"/>
        </w:rPr>
        <w:t>”) since February 2015. Mr. Kerko was a director of TASC from 2009 until February 2015, and until February 2015 Mr. Kerko was an executive of KKR. Mr. Kerko joined KKR in 1998 and is a former member of the Technology industry team within KKR’s Private Equity platform. He was actively involved in KKR’s investments in Borden, Toys ‘R’ Us, TASC, NXP (formerly Philips Semiconductor), Savant and Sonos. Mr. Kerko also serves on the board of directors of Aceco, Savant, Sonos and Transphorm Inc. Prior to joining KKR, Mr. Kerko was with Gleacher NatWest Inc., where he was involved in a broad range of merger and acquisition transactions and financing work. He holds a B.S. and B.S.E., summa cum laude, from the University of Pennsylvania.</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Ms. McFarland served as a director on Engility’s Board of Directors from June 30, 2017 until the Effective Time. Prior to joining Engility, she retired from civil service as the Assistant Secretary of Defense for Acquisition on January 20, 2017. She was appointed to this position in 2012 by then President Barack Obama and confirmed by the U.S. Senate. During her ASD tenure, she was also appointed Acting Assistant Secretary of the Army for Acquisitions, Logistics &amp; Technology and Army Acquisition Executive. Prior to her 2012 ASD appointment, Ms. McFarland served as President of the Defense Acquisition University from November, 2010 to May, 2012. From May 2006 to November 2010, she was the Director of Acquisition, Missile Defense Agency. Ms. McFarland began her civil service career in 1986 at Headquarters, U.S. Marine Corps as a general engineer. Ms. McFarland received an Honorary Doctoral degree in Engineering from the University of Cranfield, United Kingdom, and a Bachelor of Science degree from Queens University in Kingston, Canada, with accreditations in Materials, Electronics and Civil Engineering.</w:t>
      </w:r>
    </w:p>
    <w:p>
      <w:pPr>
        <w:spacing w:after="0" w:line="21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Each of the Engility Designated Directors will participate in SAIC’s outside director compensation program described in SAIC’s definitive proxy statement on Form 424B3 that was filed with the Commission on December 4, 2018. In addition, each of the Engility Designated Directors has rights to ongoing indemnification and insurance coverage as provided in the Merger Agreement and is expected to execute and receive the benefit of SAIC’s standard form of indemnification agreement for directors and executive officers.</w:t>
      </w:r>
    </w:p>
    <w:p>
      <w:pPr>
        <w:spacing w:after="0" w:line="20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January 14, 2019, SAIC issued a press release announcing the completion of the Merger. A copy of the press release issued is filed as Exhibit 99.1 to, and is incorporated by reference into, this Item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 w:name="page5"/>
    <w:bookmarkEnd w:id="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9"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of Business Acquired.</w:t>
      </w:r>
    </w:p>
    <w:p>
      <w:pPr>
        <w:spacing w:after="0" w:line="25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of Engility required by this item were previously filed and incorporated by reference in the Company’s Registration Statement on Form S-4 dated December 4, 2018.</w:t>
      </w:r>
    </w:p>
    <w:p>
      <w:pPr>
        <w:spacing w:after="0" w:line="212"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Statements.</w:t>
      </w:r>
    </w:p>
    <w:p>
      <w:pPr>
        <w:spacing w:after="0" w:line="25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required by this item was previously filed and incorporated by reference in the Company’s Registration Statement on Form S-4 dated December 4, 2018.</w:t>
      </w:r>
    </w:p>
    <w:p>
      <w:pPr>
        <w:spacing w:after="0" w:line="212"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Exhibit</w:t>
            </w:r>
          </w:p>
        </w:tc>
        <w:tc>
          <w:tcPr>
            <w:tcW w:w="102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No.</w:t>
            </w:r>
          </w:p>
        </w:tc>
        <w:tc>
          <w:tcPr>
            <w:tcW w:w="1026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tcBorders>
            <w:gridSpan w:val="2"/>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September 9, 2018, among Science Applications International Corporation, a Delaware</w:t>
            </w: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corporation, Engility Holdings, Inc., a Delaware corporation and Raptors Merger Sub, Inc., a Delaware corporation (incorporated by reference</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herein to Exhibit 2.1 to the Company’s Current Report on Form 8-K as filed with the SEC on September 10, 2018).*</w:t>
            </w:r>
          </w:p>
        </w:tc>
      </w:tr>
      <w:tr>
        <w:trPr>
          <w:trHeight w:val="392"/>
        </w:trPr>
        <w:tc>
          <w:tcPr>
            <w:tcW w:w="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1 to the Amended &amp; Restated Guarantee and Collateral Agreement dated January 14, 2019.</w:t>
            </w:r>
          </w:p>
        </w:tc>
      </w:tr>
      <w:tr>
        <w:trPr>
          <w:trHeight w:val="412"/>
        </w:trPr>
        <w:tc>
          <w:tcPr>
            <w:tcW w:w="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January 14, 2019.</w:t>
            </w:r>
          </w:p>
        </w:tc>
      </w:tr>
    </w:tbl>
    <w:p>
      <w:pPr>
        <w:spacing w:after="0" w:line="225" w:lineRule="exact"/>
        <w:rPr>
          <w:sz w:val="20"/>
          <w:szCs w:val="20"/>
          <w:color w:val="auto"/>
        </w:rPr>
      </w:pPr>
    </w:p>
    <w:p>
      <w:pPr>
        <w:ind w:left="1160" w:right="40" w:hanging="738"/>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other similar attachments have been omitted pursuant to Item 601(b)(2) of Regulation S-K. The registrant hereby undertakes to furnish supplementally copies of any of the omitted schedules and other similar attachments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14,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Science Applications International Corporation</w:t>
      </w:r>
    </w:p>
    <w:p>
      <w:pPr>
        <w:spacing w:after="0" w:line="252"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G.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499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26"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8"/>
          <w:szCs w:val="18"/>
          <w:b w:val="1"/>
          <w:bCs w:val="1"/>
          <w:color w:val="auto"/>
        </w:rPr>
        <w:t>Steven G. Mahon</w:t>
      </w:r>
    </w:p>
    <w:p>
      <w:pPr>
        <w:spacing w:after="0" w:line="31"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w:t>
      </w:r>
    </w:p>
    <w:p>
      <w:pPr>
        <w:spacing w:after="0" w:line="9"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8"/>
          <w:szCs w:val="18"/>
          <w:b w:val="1"/>
          <w:b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7" w:right="439" w:bottom="1440" w:gutter="0" w:footer="0" w:header="0"/>
        </w:sectPr>
      </w:pPr>
    </w:p>
    <w:bookmarkStart w:id="6" w:name="page7"/>
    <w:bookmarkEnd w:id="6"/>
    <w:p>
      <w:pPr>
        <w:ind w:left="10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52" w:lineRule="exact"/>
        <w:rPr>
          <w:sz w:val="20"/>
          <w:szCs w:val="20"/>
          <w:color w:val="auto"/>
        </w:rPr>
      </w:pPr>
    </w:p>
    <w:p>
      <w:pPr>
        <w:jc w:val="both"/>
        <w:ind w:left="2600" w:firstLine="648"/>
        <w:spacing w:after="0" w:line="256" w:lineRule="auto"/>
        <w:rPr>
          <w:sz w:val="20"/>
          <w:szCs w:val="20"/>
          <w:color w:val="auto"/>
        </w:rPr>
      </w:pPr>
      <w:r>
        <w:rPr>
          <w:rFonts w:ascii="Times New Roman" w:cs="Times New Roman" w:eastAsia="Times New Roman" w:hAnsi="Times New Roman"/>
          <w:sz w:val="18"/>
          <w:szCs w:val="18"/>
          <w:color w:val="auto"/>
        </w:rPr>
        <w:t>SUPPLEMENT NO. 1 (this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dated as of January 14, 2019 to the Amended and Restated Guarantee and Collateral Agreement dated as of October 31, 2018 (the “Guarantee and Collateral Agreement”), among SCIENCE APPLICATIONS INTERNATIONAL CORPORATION, a Delaware corporation (the “Borrower”), each Subsidiary of the Borrower from time to time party thereto (each such Subsidiary individually a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the Guarantors and the Borrower are referred to collectively herein as the “</w:t>
      </w:r>
      <w:r>
        <w:rPr>
          <w:rFonts w:ascii="Times New Roman" w:cs="Times New Roman" w:eastAsia="Times New Roman" w:hAnsi="Times New Roman"/>
          <w:sz w:val="18"/>
          <w:szCs w:val="18"/>
          <w:b w:val="1"/>
          <w:bCs w:val="1"/>
          <w:i w:val="1"/>
          <w:iCs w:val="1"/>
          <w:color w:val="auto"/>
        </w:rPr>
        <w:t>Grantors</w:t>
      </w:r>
      <w:r>
        <w:rPr>
          <w:rFonts w:ascii="Times New Roman" w:cs="Times New Roman" w:eastAsia="Times New Roman" w:hAnsi="Times New Roman"/>
          <w:sz w:val="18"/>
          <w:szCs w:val="18"/>
          <w:color w:val="auto"/>
        </w:rPr>
        <w:t>”) and CITIBANK, N.A. (together with its affiliates, “</w:t>
      </w:r>
      <w:r>
        <w:rPr>
          <w:rFonts w:ascii="Times New Roman" w:cs="Times New Roman" w:eastAsia="Times New Roman" w:hAnsi="Times New Roman"/>
          <w:sz w:val="18"/>
          <w:szCs w:val="18"/>
          <w:b w:val="1"/>
          <w:bCs w:val="1"/>
          <w:i w:val="1"/>
          <w:iCs w:val="1"/>
          <w:color w:val="auto"/>
        </w:rPr>
        <w:t>Citibank</w:t>
      </w:r>
      <w:r>
        <w:rPr>
          <w:rFonts w:ascii="Times New Roman" w:cs="Times New Roman" w:eastAsia="Times New Roman" w:hAnsi="Times New Roman"/>
          <w:sz w:val="18"/>
          <w:szCs w:val="18"/>
          <w:color w:val="auto"/>
        </w:rPr>
        <w:t>”), as collateral agent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for the Secured Parties (as defined therein).</w:t>
      </w:r>
    </w:p>
    <w:p>
      <w:pPr>
        <w:spacing w:after="0" w:line="214" w:lineRule="exact"/>
        <w:rPr>
          <w:sz w:val="20"/>
          <w:szCs w:val="20"/>
          <w:color w:val="auto"/>
        </w:rPr>
      </w:pPr>
    </w:p>
    <w:p>
      <w:pPr>
        <w:jc w:val="both"/>
        <w:ind w:firstLine="1305"/>
        <w:spacing w:after="0" w:line="266" w:lineRule="auto"/>
        <w:tabs>
          <w:tab w:leader="none" w:pos="15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Third Amended and Restated Credit Agreement dated as of October 31, 2018 (as amended, supplemented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among the Borrower, the lenders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and Citibank, as administrative agent for the Lenders and as Collateral Agent.</w:t>
      </w:r>
    </w:p>
    <w:p>
      <w:pPr>
        <w:spacing w:after="0" w:line="203" w:lineRule="exact"/>
        <w:rPr>
          <w:rFonts w:ascii="Times New Roman" w:cs="Times New Roman" w:eastAsia="Times New Roman" w:hAnsi="Times New Roman"/>
          <w:sz w:val="18"/>
          <w:szCs w:val="18"/>
          <w:color w:val="auto"/>
        </w:rPr>
      </w:pPr>
    </w:p>
    <w:p>
      <w:pPr>
        <w:ind w:right="20" w:firstLine="1305"/>
        <w:spacing w:after="0" w:line="282" w:lineRule="auto"/>
        <w:tabs>
          <w:tab w:leader="none" w:pos="15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and not otherwise defined herein shall have the meanings assigned to such terms in the Credit Agreement or the Guarantee and Collateral Agreement referred to therein, as applicable.</w:t>
      </w:r>
    </w:p>
    <w:p>
      <w:pPr>
        <w:spacing w:after="0" w:line="188" w:lineRule="exact"/>
        <w:rPr>
          <w:rFonts w:ascii="Times New Roman" w:cs="Times New Roman" w:eastAsia="Times New Roman" w:hAnsi="Times New Roman"/>
          <w:sz w:val="18"/>
          <w:szCs w:val="18"/>
          <w:color w:val="auto"/>
        </w:rPr>
      </w:pPr>
    </w:p>
    <w:p>
      <w:pPr>
        <w:jc w:val="both"/>
        <w:ind w:firstLine="1305"/>
        <w:spacing w:after="0" w:line="255" w:lineRule="auto"/>
        <w:tabs>
          <w:tab w:leader="none" w:pos="15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Grantors have entered into the Guarantee and Collateral Agreement in order to induce the Lenders to make Loans and the Issuing Banks to issue Letters of Credit. Section 7.16 of the Guarantee and Collateral Agreement provides that additional Subsidiaries of the Borrower may become Guarantors and Grantors under the Guarantee and Collateral Agreement by execution and delivery of an instrument in the form of this Supplement. The undersigned Subsidiaries of the Borrower (collectively, the “</w:t>
      </w:r>
      <w:r>
        <w:rPr>
          <w:rFonts w:ascii="Times New Roman" w:cs="Times New Roman" w:eastAsia="Times New Roman" w:hAnsi="Times New Roman"/>
          <w:sz w:val="18"/>
          <w:szCs w:val="18"/>
          <w:b w:val="1"/>
          <w:bCs w:val="1"/>
          <w:i w:val="1"/>
          <w:iCs w:val="1"/>
          <w:color w:val="auto"/>
        </w:rPr>
        <w:t>New Subsidiaries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New Subsidiary</w:t>
      </w:r>
      <w:r>
        <w:rPr>
          <w:rFonts w:ascii="Times New Roman" w:cs="Times New Roman" w:eastAsia="Times New Roman" w:hAnsi="Times New Roman"/>
          <w:sz w:val="18"/>
          <w:szCs w:val="18"/>
          <w:color w:val="auto"/>
        </w:rPr>
        <w:t>”) are executing this Supplement in accordance with the requirements of the Credit Agreement to become Guarantors and Grantors under the Guarantee and Collateral Agreement in order to induce the Lenders to make additional Loans and the Issuing Banks to issue additional Letters of Credit and as consideration for Loans previously made and Letters of Credit previously issued.</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Accordingly, the Collateral Agent and the New Subsidiaries agree as follows:</w:t>
      </w:r>
    </w:p>
    <w:p>
      <w:pPr>
        <w:spacing w:after="0" w:line="252"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color w:val="auto"/>
        </w:rPr>
        <w:t>SECTION 1. In accordance with Section 7.16 of the Guarantee and Collateral Agreement, each New Subsidiary by its signature below becomes a Grantor and Guarantor under the Guarantee and Collateral Agreement with the same force and effect as if originally named therein as a Grantor and Guarantor and each New Subsidiary hereby (a) agrees to all the terms and provisions of the Guarantee and Collateral Agreement applicable to it as a Grantor and Guarantor thereunder and (b) represents and warrants that the representations and warranties made by it as a Grantor and Guarantor thereunder are true and correct on and as of the date hereof. In furtherance of the foregoing, each New Subsidiary, as security for the payment and performance in full of the Obligations (as defined in the Credit Agreement), does hereby create and grant to the Collateral Agent, its successors and assigns, for the benefit of the Secured Parties, their successors and assigns, a security interest in and lien on all of such New Subsidiary’s right, title and interest in and to the Collateral (as defined in the Credit Agreement) of such New Subsidiary. Each reference to a “Grantor” or a “Guarantor” in the Guarantee and Collateral Agreement shall be deemed to include each New Subsidiary. The Guarantee and Collateral Agreement is hereby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7" w:name="page8"/>
    <w:bookmarkEnd w:id="7"/>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SECTION 2. Each New Subsidiary represents and warrants to the Collateral Agent and the other Secured Parties that this Supplement has been duly authorized, executed and delivered by it and constitutes its legal, valid and binding obligation, enforceable against it in accordance with its terms (subject to bankruptcy, insolvency, reorganization, moratorium or other laws relating to or generally affecting the rights of the Collateral Agent and/or the Secured Parties).</w:t>
      </w:r>
    </w:p>
    <w:p>
      <w:pPr>
        <w:spacing w:after="0" w:line="207"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each New Subsidiary and the Collateral Agent. Delivery of an executed signature page to this Supplement by facsimile, “.pdf”, or other similar electronic format shall be as effective as delivery of a manually signed counterpart of this Supplement.</w:t>
      </w:r>
    </w:p>
    <w:p>
      <w:pPr>
        <w:spacing w:after="0" w:line="211"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SECTION 4. Each New Subsidiary hereby represents and warrants that, as of the date hereof, (a) set forth on Schedule I attached hereto is a true and correct schedule of (i) any and all Equity Interests and Pledged Debt Securities now owned by such New Subsidiary and (ii) any and all Intellectual Property now owned by such New Subsidiary and (b) set forth under its signature hereto, is the true and correct legal name of such New Subsidiary and its jurisdiction of organization or formation.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 Except as expressly supplemented hereby, the Guarantee and Collateral Agreement shall remain in full force and effect.</w:t>
      </w:r>
    </w:p>
    <w:p>
      <w:pPr>
        <w:spacing w:after="0" w:line="248"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SECTION 6. THIS SUPPLEMENT SHALL BE GOVERNED BY, AND CONSTRUED IN ACCORDANCE WITH, THE LAWS OF THE STATE OF NEW YORK.</w:t>
      </w:r>
    </w:p>
    <w:p>
      <w:pPr>
        <w:spacing w:after="0" w:line="186"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color w:val="auto"/>
        </w:rPr>
        <w:t>SECTION 7. In case any one or more of the provisions contained in this Supplement should be held invalid, illegal or unenforceable in any respect, the validity, legality and enforceability of the remaining provisions contained herein and in the Guarantee and Collateral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SECTION 8. All communications and notices hereunder shall (except as otherwise expressly permitted by the Guarantee and Collateral Agreement) be in writing and given as provided in Section 9.02 of the Credit Agreement. All communications and notices hereunder to each New Subsidiary shall be given to it in care of the Borrower as provided in Section 9.02 of the Credit Agreement.</w:t>
      </w:r>
    </w:p>
    <w:p>
      <w:pPr>
        <w:spacing w:after="0" w:line="203"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SECTION 9. Each New Subsidiary agrees to reimburse the Collateral Agent for its out-of-pocket expenses in connection with this Supplement, including the fees, other charges and disbursements of counsel for the Collateral Agent, to the extent provided for in Section 9.04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firstLine="1297"/>
        <w:spacing w:after="0" w:line="282" w:lineRule="auto"/>
        <w:rPr>
          <w:sz w:val="20"/>
          <w:szCs w:val="20"/>
          <w:color w:val="auto"/>
        </w:rPr>
      </w:pPr>
      <w:r>
        <w:rPr>
          <w:rFonts w:ascii="Times New Roman" w:cs="Times New Roman" w:eastAsia="Times New Roman" w:hAnsi="Times New Roman"/>
          <w:sz w:val="18"/>
          <w:szCs w:val="18"/>
          <w:color w:val="auto"/>
        </w:rPr>
        <w:t>IN WITNESS WHEREOF, each New Subsidiary and the Collateral Agent have duly executed this Supplement to the Guarantee and Collateral Agreement as of the day and year first above written.</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ENGILITY HOLDINGS, INC.</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Address: 12010 Sunset Hills Road, Reston VA 20190</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Legal Name: Engility Holdings, Inc.</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Jurisdiction of Formation: Delaware</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ENGILITY CORPORATION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32588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Address: 12010 Sunset Hills Road, Reston VA 20190</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Legal Name: Engility Corporation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Jurisdiction of Formation: Massachusetts</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ENGILITY LLC</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Address: 12010 Sunset Hills Road, Reston VA 20190</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Legal Name: Engility LLC</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Jurisdiction of Formation: Delaware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 to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color w:val="auto"/>
        </w:rPr>
        <w:t>ATAC SERVICES, LLC</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5715</wp:posOffset>
            </wp:positionV>
            <wp:extent cx="32588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Address: 12010 Sunset Hills Road, Reston VA 20190</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Legal Name: ATAC Services,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Jurisdiction of Formation: Delaware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ARIC SERVICES, LLC</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5715</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Address: 12010 Sunset Hills Road, Reston VA 20190</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Legal Name: ARIC Services,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Jurisdiction of Formation: Delaware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SUPPORT SERVICES ORGANIZATION, LLC</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5715</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Address: 12010 Sunset Hills Road, Reston VA 20190</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Legal Name: Support Services Organization,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Jurisdiction of Formation: Delaware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TEXELTEK, LLC</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5715</wp:posOffset>
            </wp:positionV>
            <wp:extent cx="32588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Address: 12010 Sunset Hills Road, Reston VA 20190</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Legal Name: Texeltek, LLC</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Jurisdiction of Formation: Delaware</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Supplement to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128905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TASC SERVICES CORPORATION</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5715</wp:posOffset>
            </wp:positionV>
            <wp:extent cx="3258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 Charles A. Mathis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Address: 12010 Sunset Hills Road, Reston VA 20190</w:t>
      </w:r>
    </w:p>
    <w:p>
      <w:pPr>
        <w:spacing w:after="0" w:line="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Legal Name: TASC Services Corporation</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Jurisdiction of Formation: Delaware</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Supplement to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128905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jc w:val="right"/>
        <w:ind w:right="1679"/>
        <w:spacing w:after="0"/>
        <w:rPr>
          <w:sz w:val="20"/>
          <w:szCs w:val="20"/>
          <w:color w:val="auto"/>
        </w:rPr>
      </w:pPr>
      <w:r>
        <w:rPr>
          <w:rFonts w:ascii="Times New Roman" w:cs="Times New Roman" w:eastAsia="Times New Roman" w:hAnsi="Times New Roman"/>
          <w:sz w:val="18"/>
          <w:szCs w:val="18"/>
          <w:color w:val="auto"/>
        </w:rPr>
        <w:t>CITIBANK, N.A., as Collateral Agent,</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Justin Tichauer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5715</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 Justin Tichauer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Supplement to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128905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EQUITY INTERESTS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1"/>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Number and</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8"/>
                <w:szCs w:val="18"/>
                <w:color w:val="auto"/>
              </w:rPr>
            </w:pPr>
          </w:p>
        </w:tc>
        <w:tc>
          <w:tcPr>
            <w:tcW w:w="208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rPr>
              <w:t>Registered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Class of</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rPr>
              <w:t>Percentage</w:t>
            </w:r>
          </w:p>
        </w:tc>
      </w:tr>
      <w:tr>
        <w:trPr>
          <w:trHeight w:val="194"/>
        </w:trPr>
        <w:tc>
          <w:tcPr>
            <w:tcW w:w="2300" w:type="dxa"/>
            <w:vAlign w:val="bottom"/>
            <w:gridSpan w:val="5"/>
          </w:tcPr>
          <w:p>
            <w:pPr>
              <w:ind w:left="940"/>
              <w:spacing w:after="0" w:line="194" w:lineRule="exact"/>
              <w:rPr>
                <w:sz w:val="20"/>
                <w:szCs w:val="20"/>
                <w:color w:val="auto"/>
              </w:rPr>
            </w:pPr>
            <w:r>
              <w:rPr>
                <w:rFonts w:ascii="Times New Roman" w:cs="Times New Roman" w:eastAsia="Times New Roman" w:hAnsi="Times New Roman"/>
                <w:sz w:val="18"/>
                <w:szCs w:val="18"/>
                <w:color w:val="auto"/>
              </w:rPr>
              <w:t>Issuer</w:t>
            </w:r>
          </w:p>
        </w:tc>
        <w:tc>
          <w:tcPr>
            <w:tcW w:w="76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Certificate</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4"/>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rPr>
              <w:t>Owner</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auto"/>
                <w:w w:val="99"/>
              </w:rPr>
              <w:t>Equity Interest</w:t>
            </w:r>
          </w:p>
        </w:tc>
        <w:tc>
          <w:tcPr>
            <w:tcW w:w="380" w:type="dxa"/>
            <w:vAlign w:val="bottom"/>
          </w:tcPr>
          <w:p>
            <w:pPr>
              <w:spacing w:after="0"/>
              <w:rPr>
                <w:sz w:val="16"/>
                <w:szCs w:val="16"/>
                <w:color w:val="auto"/>
              </w:rPr>
            </w:pPr>
          </w:p>
        </w:tc>
        <w:tc>
          <w:tcPr>
            <w:tcW w:w="2280" w:type="dxa"/>
            <w:vAlign w:val="bottom"/>
            <w:gridSpan w:val="5"/>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w w:val="99"/>
              </w:rPr>
              <w:t>of Equity Interests</w:t>
            </w:r>
          </w:p>
        </w:tc>
      </w:tr>
      <w:tr>
        <w:trPr>
          <w:trHeight w:val="28"/>
        </w:trPr>
        <w:tc>
          <w:tcPr>
            <w:tcW w:w="94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2300" w:type="dxa"/>
            <w:vAlign w:val="bottom"/>
            <w:tcBorders>
              <w:left w:val="single" w:sz="8" w:color="auto"/>
              <w:right w:val="single" w:sz="8" w:color="auto"/>
            </w:tcBorders>
            <w:gridSpan w:val="5"/>
          </w:tcPr>
          <w:p>
            <w:pPr>
              <w:ind w:left="20"/>
              <w:spacing w:after="0" w:line="198" w:lineRule="exact"/>
              <w:rPr>
                <w:sz w:val="20"/>
                <w:szCs w:val="20"/>
                <w:color w:val="auto"/>
              </w:rPr>
            </w:pPr>
            <w:r>
              <w:rPr>
                <w:rFonts w:ascii="Times New Roman" w:cs="Times New Roman" w:eastAsia="Times New Roman" w:hAnsi="Times New Roman"/>
                <w:sz w:val="18"/>
                <w:szCs w:val="18"/>
                <w:color w:val="auto"/>
              </w:rPr>
              <w:t>Engility Holdings, Inc.</w:t>
            </w:r>
          </w:p>
        </w:tc>
        <w:tc>
          <w:tcPr>
            <w:tcW w:w="19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C-1</w:t>
            </w:r>
          </w:p>
        </w:tc>
        <w:tc>
          <w:tcPr>
            <w:tcW w:w="380" w:type="dxa"/>
            <w:vAlign w:val="bottom"/>
            <w:tcBorders>
              <w:right w:val="single" w:sz="8" w:color="auto"/>
            </w:tcBorders>
          </w:tcPr>
          <w:p>
            <w:pPr>
              <w:spacing w:after="0"/>
              <w:rPr>
                <w:sz w:val="17"/>
                <w:szCs w:val="17"/>
                <w:color w:val="auto"/>
              </w:rPr>
            </w:pPr>
          </w:p>
        </w:tc>
        <w:tc>
          <w:tcPr>
            <w:tcW w:w="20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Science Applications</w:t>
            </w:r>
          </w:p>
        </w:tc>
        <w:tc>
          <w:tcPr>
            <w:tcW w:w="200" w:type="dxa"/>
            <w:vAlign w:val="bottom"/>
            <w:tcBorders>
              <w:right w:val="single" w:sz="8" w:color="auto"/>
            </w:tcBorders>
          </w:tcPr>
          <w:p>
            <w:pPr>
              <w:spacing w:after="0"/>
              <w:rPr>
                <w:sz w:val="17"/>
                <w:szCs w:val="17"/>
                <w:color w:val="auto"/>
              </w:rPr>
            </w:pPr>
          </w:p>
        </w:tc>
        <w:tc>
          <w:tcPr>
            <w:tcW w:w="19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100 Common Shares</w:t>
            </w:r>
          </w:p>
        </w:tc>
        <w:tc>
          <w:tcPr>
            <w:tcW w:w="380" w:type="dxa"/>
            <w:vAlign w:val="bottom"/>
            <w:tcBorders>
              <w:right w:val="single" w:sz="8" w:color="auto"/>
            </w:tcBorders>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r>
      <w:tr>
        <w:trPr>
          <w:trHeight w:val="241"/>
        </w:trPr>
        <w:tc>
          <w:tcPr>
            <w:tcW w:w="94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International Corporation</w:t>
            </w:r>
          </w:p>
        </w:tc>
        <w:tc>
          <w:tcPr>
            <w:tcW w:w="2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r>
      <w:tr>
        <w:trPr>
          <w:trHeight w:val="223"/>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Engility Corporation</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Engility Holdings, Inc.</w:t>
            </w:r>
          </w:p>
        </w:tc>
        <w:tc>
          <w:tcPr>
            <w:tcW w:w="2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1,000 Common Shares</w:t>
            </w:r>
          </w:p>
        </w:tc>
        <w:tc>
          <w:tcPr>
            <w:tcW w:w="3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Engility LLC</w:t>
            </w: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Engility Corporation</w:t>
            </w:r>
          </w:p>
        </w:tc>
        <w:tc>
          <w:tcPr>
            <w:tcW w:w="2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3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ATAC Services, LLC</w:t>
            </w: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Engility LLC</w:t>
            </w:r>
          </w:p>
        </w:tc>
        <w:tc>
          <w:tcPr>
            <w:tcW w:w="2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3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ARIC Services, LLC</w:t>
            </w: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Engility LLC</w:t>
            </w:r>
          </w:p>
        </w:tc>
        <w:tc>
          <w:tcPr>
            <w:tcW w:w="2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3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r>
      <w:tr>
        <w:trPr>
          <w:trHeight w:val="198"/>
        </w:trPr>
        <w:tc>
          <w:tcPr>
            <w:tcW w:w="2300" w:type="dxa"/>
            <w:vAlign w:val="bottom"/>
            <w:tcBorders>
              <w:left w:val="single" w:sz="8" w:color="auto"/>
              <w:right w:val="single" w:sz="8" w:color="auto"/>
            </w:tcBorders>
            <w:gridSpan w:val="5"/>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Support Services Organization,</w:t>
            </w:r>
          </w:p>
        </w:tc>
        <w:tc>
          <w:tcPr>
            <w:tcW w:w="19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right w:val="single" w:sz="8" w:color="auto"/>
            </w:tcBorders>
          </w:tcPr>
          <w:p>
            <w:pPr>
              <w:spacing w:after="0"/>
              <w:rPr>
                <w:sz w:val="17"/>
                <w:szCs w:val="17"/>
                <w:color w:val="auto"/>
              </w:rPr>
            </w:pPr>
          </w:p>
        </w:tc>
        <w:tc>
          <w:tcPr>
            <w:tcW w:w="20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200" w:type="dxa"/>
            <w:vAlign w:val="bottom"/>
            <w:tcBorders>
              <w:right w:val="single" w:sz="8" w:color="auto"/>
            </w:tcBorders>
          </w:tcPr>
          <w:p>
            <w:pPr>
              <w:spacing w:after="0"/>
              <w:rPr>
                <w:sz w:val="17"/>
                <w:szCs w:val="17"/>
                <w:color w:val="auto"/>
              </w:rPr>
            </w:pPr>
          </w:p>
        </w:tc>
        <w:tc>
          <w:tcPr>
            <w:tcW w:w="19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LLC interests</w:t>
            </w:r>
          </w:p>
        </w:tc>
        <w:tc>
          <w:tcPr>
            <w:tcW w:w="380" w:type="dxa"/>
            <w:vAlign w:val="bottom"/>
            <w:tcBorders>
              <w:right w:val="single" w:sz="8" w:color="auto"/>
            </w:tcBorders>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r>
      <w:tr>
        <w:trPr>
          <w:trHeight w:val="241"/>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r>
      <w:tr>
        <w:trPr>
          <w:trHeight w:val="223"/>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Texeltek, LLC</w:t>
            </w: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Engility Corporation</w:t>
            </w:r>
          </w:p>
        </w:tc>
        <w:tc>
          <w:tcPr>
            <w:tcW w:w="2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3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TASC Services Corporation</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Engility Corporation</w:t>
            </w:r>
          </w:p>
        </w:tc>
        <w:tc>
          <w:tcPr>
            <w:tcW w:w="2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1,000 Shares</w:t>
            </w:r>
          </w:p>
        </w:tc>
        <w:tc>
          <w:tcPr>
            <w:tcW w:w="3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r>
      <w:tr>
        <w:trPr>
          <w:trHeight w:val="223"/>
        </w:trPr>
        <w:tc>
          <w:tcPr>
            <w:tcW w:w="23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TM Creditors</w:t>
            </w: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Engility LLC</w:t>
            </w:r>
          </w:p>
        </w:tc>
        <w:tc>
          <w:tcPr>
            <w:tcW w:w="20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0.075785%</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r>
      <w:tr>
        <w:trPr>
          <w:trHeight w:val="459"/>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80" w:type="dxa"/>
            <w:vAlign w:val="bottom"/>
            <w:gridSpan w:val="11"/>
          </w:tcPr>
          <w:p>
            <w:pPr>
              <w:jc w:val="center"/>
              <w:ind w:right="1540"/>
              <w:spacing w:after="0"/>
              <w:rPr>
                <w:sz w:val="20"/>
                <w:szCs w:val="20"/>
                <w:color w:val="auto"/>
              </w:rPr>
            </w:pPr>
            <w:r>
              <w:rPr>
                <w:rFonts w:ascii="Times New Roman" w:cs="Times New Roman" w:eastAsia="Times New Roman" w:hAnsi="Times New Roman"/>
                <w:sz w:val="18"/>
                <w:szCs w:val="18"/>
                <w:color w:val="auto"/>
                <w:w w:val="99"/>
              </w:rPr>
              <w:t>PLEDGED DEBT SECURITIES</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4"/>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Registered</w:t>
            </w:r>
          </w:p>
        </w:tc>
        <w:tc>
          <w:tcPr>
            <w:tcW w:w="380" w:type="dxa"/>
            <w:vAlign w:val="bottom"/>
          </w:tcPr>
          <w:p>
            <w:pPr>
              <w:spacing w:after="0"/>
              <w:rPr>
                <w:sz w:val="24"/>
                <w:szCs w:val="24"/>
                <w:color w:val="auto"/>
              </w:rPr>
            </w:pPr>
          </w:p>
        </w:tc>
        <w:tc>
          <w:tcPr>
            <w:tcW w:w="208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8"/>
              </w:rPr>
              <w:t>Principal</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7"/>
              </w:rPr>
              <w:t>Issuer</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Creditor</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Amount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ind w:left="600"/>
              <w:spacing w:after="0" w:line="194" w:lineRule="exact"/>
              <w:rPr>
                <w:sz w:val="20"/>
                <w:szCs w:val="20"/>
                <w:color w:val="auto"/>
              </w:rPr>
            </w:pPr>
            <w:r>
              <w:rPr>
                <w:rFonts w:ascii="Times New Roman" w:cs="Times New Roman" w:eastAsia="Times New Roman" w:hAnsi="Times New Roman"/>
                <w:sz w:val="18"/>
                <w:szCs w:val="18"/>
                <w:color w:val="auto"/>
              </w:rPr>
              <w:t>Date of Note</w:t>
            </w:r>
          </w:p>
        </w:tc>
        <w:tc>
          <w:tcPr>
            <w:tcW w:w="380" w:type="dxa"/>
            <w:vAlign w:val="bottom"/>
          </w:tcPr>
          <w:p>
            <w:pPr>
              <w:spacing w:after="0"/>
              <w:rPr>
                <w:sz w:val="16"/>
                <w:szCs w:val="16"/>
                <w:color w:val="auto"/>
              </w:rPr>
            </w:pPr>
          </w:p>
        </w:tc>
        <w:tc>
          <w:tcPr>
            <w:tcW w:w="2280" w:type="dxa"/>
            <w:vAlign w:val="bottom"/>
            <w:gridSpan w:val="5"/>
          </w:tcPr>
          <w:p>
            <w:pPr>
              <w:ind w:left="560"/>
              <w:spacing w:after="0" w:line="194" w:lineRule="exact"/>
              <w:rPr>
                <w:sz w:val="20"/>
                <w:szCs w:val="20"/>
                <w:color w:val="auto"/>
              </w:rPr>
            </w:pPr>
            <w:r>
              <w:rPr>
                <w:rFonts w:ascii="Times New Roman" w:cs="Times New Roman" w:eastAsia="Times New Roman" w:hAnsi="Times New Roman"/>
                <w:sz w:val="18"/>
                <w:szCs w:val="18"/>
                <w:color w:val="auto"/>
              </w:rPr>
              <w:t>Maturity Date</w:t>
            </w:r>
          </w:p>
        </w:tc>
      </w:tr>
      <w:tr>
        <w:trPr>
          <w:trHeight w:val="23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top w:val="single" w:sz="8" w:color="auto"/>
            </w:tcBorders>
            <w:gridSpan w:val="2"/>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Borders>
              <w:top w:val="single" w:sz="8" w:color="auto"/>
            </w:tcBorders>
            <w:gridSpan w:val="3"/>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Borders>
              <w:top w:val="single" w:sz="8" w:color="auto"/>
            </w:tcBorders>
          </w:tcPr>
          <w:p>
            <w:pPr>
              <w:spacing w:after="0"/>
              <w:rPr>
                <w:sz w:val="20"/>
                <w:szCs w:val="20"/>
                <w:color w:val="auto"/>
              </w:rPr>
            </w:pPr>
          </w:p>
        </w:tc>
        <w:tc>
          <w:tcPr>
            <w:tcW w:w="400" w:type="dxa"/>
            <w:vAlign w:val="bottom"/>
            <w:gridSpan w:val="2"/>
          </w:tcPr>
          <w:p>
            <w:pPr>
              <w:spacing w:after="0"/>
              <w:rPr>
                <w:sz w:val="20"/>
                <w:szCs w:val="20"/>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Borders>
              <w:top w:val="single" w:sz="8" w:color="auto"/>
            </w:tcBorders>
            <w:gridSpan w:val="2"/>
          </w:tcPr>
          <w:p>
            <w:pPr>
              <w:spacing w:after="0"/>
              <w:rPr>
                <w:sz w:val="20"/>
                <w:szCs w:val="20"/>
                <w:color w:val="auto"/>
              </w:rPr>
            </w:pPr>
          </w:p>
        </w:tc>
        <w:tc>
          <w:tcPr>
            <w:tcW w:w="700" w:type="dxa"/>
            <w:vAlign w:val="bottom"/>
            <w:gridSpan w:val="2"/>
          </w:tcPr>
          <w:p>
            <w:pPr>
              <w:spacing w:after="0"/>
              <w:rPr>
                <w:sz w:val="20"/>
                <w:szCs w:val="20"/>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1" w:right="219" w:bottom="1440" w:gutter="0" w:footer="0" w:header="0"/>
        </w:sectPr>
      </w:pPr>
    </w:p>
    <w:bookmarkStart w:id="14" w:name="page15"/>
    <w:bookmarkEnd w:id="14"/>
    <w:p>
      <w:pPr>
        <w:jc w:val="right"/>
        <w:ind w:right="1759"/>
        <w:spacing w:after="0"/>
        <w:rPr>
          <w:sz w:val="20"/>
          <w:szCs w:val="20"/>
          <w:color w:val="auto"/>
        </w:rPr>
      </w:pPr>
      <w:r>
        <w:rPr>
          <w:rFonts w:ascii="Times New Roman" w:cs="Times New Roman" w:eastAsia="Times New Roman" w:hAnsi="Times New Roman"/>
          <w:sz w:val="18"/>
          <w:szCs w:val="18"/>
          <w:color w:val="auto"/>
        </w:rPr>
        <w:t>EXISTING CONTRACTS PROHIBITING SUBSIDIARY GUARANTEES</w:t>
      </w:r>
    </w:p>
    <w:p>
      <w:pPr>
        <w:spacing w:after="0" w:line="279"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Support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COPYRIGHTS OWNED BY ENGILITY CORPORATION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Copyright Registrations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4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Reg. No.</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 Date</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Internal validation summary statistics</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TXu000534171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6,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LODESTAR cost of service</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Txu000528190</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6,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LODESTAR domains ratio</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Txu000528167</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8,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LODESTAR graphics</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Txu000527884</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6,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Lodestar late cut reporter</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Txu000529502</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6,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LODEstar PC/interface</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Txu000533911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2,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Lodestar ratio analysis program</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Txu000547932</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2,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Lodestar sampling</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Txu000527097</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6, 1992</w:t>
            </w: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LODESTAR solid state validation</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TXu000528191</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6, 1992</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package</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LODESTAR substation analysis</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TXu000533985</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2, 1992</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package</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LODESTAR tool kit</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TXu000528030</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2, 1992</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LODESTAR totalizing reporter</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TXu000533986</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6, 1992</w:t>
            </w:r>
          </w:p>
        </w:tc>
      </w:tr>
      <w:tr>
        <w:trPr>
          <w:trHeight w:val="183"/>
        </w:trPr>
        <w:tc>
          <w:tcPr>
            <w:tcW w:w="28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LODESTAR version 5</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TXu000534366</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29, 1992</w:t>
            </w: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Lodestar: coincident peak analysis</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TXu000529370</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6, 1992</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program</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LODESTAR: individual customer</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TXu000527530</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6, 1992</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analysis</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TASC AdaGRAPH: source code</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TX0002105965</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12, 1987</w:t>
            </w: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Analytic Sciences Corporation (TASC)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TASC QNET</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TX0003106842</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June 3, 1991</w:t>
            </w: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Dynamics Research Corporation</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Cycle interpolation monochip</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MW0000001798</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28, 1986</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metallization mask work, MLA3454A</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Dynamics Research Corporation</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Data accessor for Digital Equipment</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TXu000302267</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October 26, 1987</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Corporation’s VAX computer</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Dynamics Research Corporation</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Data accessor for the Honeywell DPS-</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Txu000302266</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October 26, 1987</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Dynamics Research Corporation</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Expense tracking and planning system</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TX0005953722</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1, 2004</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(ETAPS) reports</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Dynamics Research Corporation</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First ten pages of “Network interface</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TXu000302553</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October 26, 1987</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the I B M PC</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Dynamics Research Corporation</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Network supervisor for Digital</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Txu000302254</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October 26, 1987</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Equipment Corporation’s VAX</w:t>
            </w:r>
          </w:p>
        </w:tc>
        <w:tc>
          <w:tcPr>
            <w:tcW w:w="284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computer</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Tasc, Inc.</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Math assignments grades four through</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Txu000307085</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9, 1987</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eight: Math drills</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223"/>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Tasc, Inc.</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Tasc quickview version 1.1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TXu000726051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26, 1996</w:t>
            </w:r>
          </w:p>
        </w:tc>
      </w:tr>
      <w:tr>
        <w:trPr>
          <w:trHeight w:val="198"/>
        </w:trPr>
        <w:tc>
          <w:tcPr>
            <w:tcW w:w="28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Tasc, Inc.</w:t>
            </w:r>
          </w:p>
        </w:tc>
        <w:tc>
          <w:tcPr>
            <w:tcW w:w="2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Tasc, Inc. AIDS brief risk intervention</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TXu000331894</w:t>
            </w:r>
          </w:p>
        </w:tc>
        <w:tc>
          <w:tcPr>
            <w:tcW w:w="28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18, 1988</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 R I)</w:t>
            </w:r>
          </w:p>
        </w:tc>
        <w:tc>
          <w:tcPr>
            <w:tcW w:w="28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183"/>
        </w:trPr>
        <w:tc>
          <w:tcPr>
            <w:tcW w:w="28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0" w:right="239" w:bottom="1440" w:gutter="0" w:footer="0" w:header="0"/>
        </w:sectPr>
      </w:pPr>
    </w:p>
    <w:bookmarkStart w:id="17" w:name="page18"/>
    <w:bookmarkEnd w:id="17"/>
    <w:p>
      <w:pPr>
        <w:ind w:left="5300"/>
        <w:spacing w:after="0"/>
        <w:rPr>
          <w:sz w:val="20"/>
          <w:szCs w:val="20"/>
          <w:color w:val="auto"/>
        </w:rPr>
      </w:pPr>
      <w:r>
        <w:rPr>
          <w:rFonts w:ascii="Times New Roman" w:cs="Times New Roman" w:eastAsia="Times New Roman" w:hAnsi="Times New Roman"/>
          <w:sz w:val="18"/>
          <w:szCs w:val="18"/>
          <w:color w:val="auto"/>
        </w:rPr>
        <w:t>LICENSES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Licenses/Sublicenses of New Subsidiaries as Licensor/Sublicensor on Date Hereof</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Licenses/Sublicenses of New Subsidiaries as Licensee/Sublicensee on Date Hereof</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Sublicense Agreement dated April 26, 2017, as amended May 15, 2018, by and between Emirates Training Technology LLC and Engility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80"/>
          </w:cols>
          <w:pgMar w:left="240" w:top="121" w:right="7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PATENTS OWNED BY ENGILITY CORPORATION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Patents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c>
          <w:tcPr>
            <w:tcW w:w="3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Serial No.</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Patent No.</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45"/>
        </w:trPr>
        <w:tc>
          <w:tcPr>
            <w:tcW w:w="2380" w:type="dxa"/>
            <w:vAlign w:val="bottom"/>
            <w:tcBorders>
              <w:left w:val="single" w:sz="8" w:color="auto"/>
              <w:bottom w:val="single" w:sz="8" w:color="auto"/>
              <w:right w:val="single" w:sz="8" w:color="auto"/>
            </w:tcBorders>
          </w:tcPr>
          <w:p>
            <w:pPr>
              <w:spacing w:after="0"/>
              <w:rPr>
                <w:sz w:val="21"/>
                <w:szCs w:val="21"/>
                <w:color w:val="auto"/>
              </w:rPr>
            </w:pPr>
          </w:p>
        </w:tc>
        <w:tc>
          <w:tcPr>
            <w:tcW w:w="35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480" w:type="dxa"/>
            <w:vAlign w:val="bottom"/>
            <w:tcBorders>
              <w:bottom w:val="single" w:sz="8" w:color="auto"/>
              <w:right w:val="single" w:sz="8" w:color="auto"/>
            </w:tcBorders>
          </w:tcPr>
          <w:p>
            <w:pPr>
              <w:spacing w:after="0"/>
              <w:rPr>
                <w:sz w:val="21"/>
                <w:szCs w:val="21"/>
                <w:color w:val="auto"/>
              </w:rPr>
            </w:pPr>
          </w:p>
        </w:tc>
      </w:tr>
      <w:tr>
        <w:trPr>
          <w:trHeight w:val="198"/>
        </w:trPr>
        <w:tc>
          <w:tcPr>
            <w:tcW w:w="2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35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APPARATUS AND METHOD FOR</w:t>
            </w:r>
          </w:p>
        </w:tc>
        <w:tc>
          <w:tcPr>
            <w:tcW w:w="240" w:type="dxa"/>
            <w:vAlign w:val="bottom"/>
          </w:tcPr>
          <w:p>
            <w:pPr>
              <w:spacing w:after="0"/>
              <w:rPr>
                <w:sz w:val="17"/>
                <w:szCs w:val="17"/>
                <w:color w:val="auto"/>
              </w:rPr>
            </w:pPr>
          </w:p>
        </w:tc>
        <w:tc>
          <w:tcPr>
            <w:tcW w:w="1780" w:type="dxa"/>
            <w:vAlign w:val="bottom"/>
            <w:tcBorders>
              <w:right w:val="single" w:sz="8" w:color="auto"/>
            </w:tcBorders>
          </w:tcPr>
          <w:p>
            <w:pPr>
              <w:jc w:val="center"/>
              <w:ind w:right="170"/>
              <w:spacing w:after="0" w:line="198" w:lineRule="exact"/>
              <w:rPr>
                <w:sz w:val="20"/>
                <w:szCs w:val="20"/>
                <w:color w:val="auto"/>
              </w:rPr>
            </w:pPr>
            <w:r>
              <w:rPr>
                <w:rFonts w:ascii="Times New Roman" w:cs="Times New Roman" w:eastAsia="Times New Roman" w:hAnsi="Times New Roman"/>
                <w:sz w:val="18"/>
                <w:szCs w:val="18"/>
                <w:color w:val="auto"/>
                <w:w w:val="98"/>
              </w:rPr>
              <w:t>11/347,285</w:t>
            </w:r>
          </w:p>
        </w:tc>
        <w:tc>
          <w:tcPr>
            <w:tcW w:w="19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7,865,388</w:t>
            </w:r>
          </w:p>
        </w:tc>
        <w:tc>
          <w:tcPr>
            <w:tcW w:w="1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Issued</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PROVIDING PROGRAM PROTECTION</w:t>
            </w:r>
          </w:p>
        </w:tc>
        <w:tc>
          <w:tcPr>
            <w:tcW w:w="24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ENGINEERING, SECURITY</w:t>
            </w:r>
          </w:p>
        </w:tc>
        <w:tc>
          <w:tcPr>
            <w:tcW w:w="240" w:type="dxa"/>
            <w:vAlign w:val="bottom"/>
          </w:tcPr>
          <w:p>
            <w:pPr>
              <w:spacing w:after="0"/>
              <w:rPr>
                <w:sz w:val="18"/>
                <w:szCs w:val="18"/>
                <w:color w:val="auto"/>
              </w:rPr>
            </w:pPr>
          </w:p>
        </w:tc>
        <w:tc>
          <w:tcPr>
            <w:tcW w:w="17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February 6, 2006</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4, 2011</w:t>
            </w:r>
          </w:p>
        </w:tc>
        <w:tc>
          <w:tcPr>
            <w:tcW w:w="14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MANAGEMENT, AND REPORT</w:t>
            </w:r>
          </w:p>
        </w:tc>
        <w:tc>
          <w:tcPr>
            <w:tcW w:w="24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PREPARATION FOR SENSITIVE AND</w:t>
            </w:r>
          </w:p>
        </w:tc>
        <w:tc>
          <w:tcPr>
            <w:tcW w:w="24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41"/>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CLASSIFIED PROJECTS</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702"/>
        </w:trPr>
        <w:tc>
          <w:tcPr>
            <w:tcW w:w="2380" w:type="dxa"/>
            <w:vAlign w:val="bottom"/>
          </w:tcPr>
          <w:p>
            <w:pPr>
              <w:spacing w:after="0"/>
              <w:rPr>
                <w:sz w:val="24"/>
                <w:szCs w:val="24"/>
                <w:color w:val="auto"/>
              </w:rPr>
            </w:pPr>
          </w:p>
        </w:tc>
        <w:tc>
          <w:tcPr>
            <w:tcW w:w="560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9"/>
              </w:rPr>
              <w:t>U.S. Patent Applications</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3"/>
        </w:trPr>
        <w:tc>
          <w:tcPr>
            <w:tcW w:w="23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2"/>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94"/>
        </w:trPr>
        <w:tc>
          <w:tcPr>
            <w:tcW w:w="238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Owner</w:t>
            </w:r>
          </w:p>
        </w:tc>
        <w:tc>
          <w:tcPr>
            <w:tcW w:w="35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16"/>
                <w:szCs w:val="16"/>
                <w:color w:val="auto"/>
              </w:rPr>
            </w:pPr>
          </w:p>
        </w:tc>
        <w:tc>
          <w:tcPr>
            <w:tcW w:w="1780" w:type="dxa"/>
            <w:vAlign w:val="bottom"/>
            <w:tcBorders>
              <w:right w:val="single" w:sz="8" w:color="auto"/>
            </w:tcBorders>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Serial No.</w:t>
            </w:r>
          </w:p>
        </w:tc>
        <w:tc>
          <w:tcPr>
            <w:tcW w:w="19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Patent No.</w:t>
            </w:r>
          </w:p>
        </w:tc>
        <w:tc>
          <w:tcPr>
            <w:tcW w:w="14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45"/>
        </w:trPr>
        <w:tc>
          <w:tcPr>
            <w:tcW w:w="2380" w:type="dxa"/>
            <w:vAlign w:val="bottom"/>
            <w:tcBorders>
              <w:left w:val="single" w:sz="8" w:color="auto"/>
              <w:bottom w:val="single" w:sz="8" w:color="auto"/>
              <w:right w:val="single" w:sz="8" w:color="auto"/>
            </w:tcBorders>
          </w:tcPr>
          <w:p>
            <w:pPr>
              <w:spacing w:after="0"/>
              <w:rPr>
                <w:sz w:val="21"/>
                <w:szCs w:val="21"/>
                <w:color w:val="auto"/>
              </w:rPr>
            </w:pPr>
          </w:p>
        </w:tc>
        <w:tc>
          <w:tcPr>
            <w:tcW w:w="35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480" w:type="dxa"/>
            <w:vAlign w:val="bottom"/>
            <w:tcBorders>
              <w:bottom w:val="single" w:sz="8" w:color="auto"/>
              <w:right w:val="single" w:sz="8" w:color="auto"/>
            </w:tcBorders>
          </w:tcPr>
          <w:p>
            <w:pPr>
              <w:spacing w:after="0"/>
              <w:rPr>
                <w:sz w:val="21"/>
                <w:szCs w:val="21"/>
                <w:color w:val="auto"/>
              </w:rPr>
            </w:pPr>
          </w:p>
        </w:tc>
      </w:tr>
      <w:tr>
        <w:trPr>
          <w:trHeight w:val="198"/>
        </w:trPr>
        <w:tc>
          <w:tcPr>
            <w:tcW w:w="2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35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SYSTEM AND METHOD FOR</w:t>
            </w:r>
          </w:p>
        </w:tc>
        <w:tc>
          <w:tcPr>
            <w:tcW w:w="240" w:type="dxa"/>
            <w:vAlign w:val="bottom"/>
          </w:tcPr>
          <w:p>
            <w:pPr>
              <w:spacing w:after="0"/>
              <w:rPr>
                <w:sz w:val="17"/>
                <w:szCs w:val="17"/>
                <w:color w:val="auto"/>
              </w:rPr>
            </w:pPr>
          </w:p>
        </w:tc>
        <w:tc>
          <w:tcPr>
            <w:tcW w:w="1780" w:type="dxa"/>
            <w:vAlign w:val="bottom"/>
            <w:tcBorders>
              <w:right w:val="single" w:sz="8" w:color="auto"/>
            </w:tcBorders>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rPr>
              <w:t>15/676,982</w:t>
            </w:r>
          </w:p>
        </w:tc>
        <w:tc>
          <w:tcPr>
            <w:tcW w:w="19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Pending</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COMPUTERIZED DATA PROCESSING,</w:t>
            </w:r>
          </w:p>
        </w:tc>
        <w:tc>
          <w:tcPr>
            <w:tcW w:w="24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41"/>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ANALYSIS AND DISPLAY</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August 14, 2017</w:t>
            </w:r>
          </w:p>
        </w:tc>
        <w:tc>
          <w:tcPr>
            <w:tcW w:w="1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459"/>
        </w:trPr>
        <w:tc>
          <w:tcPr>
            <w:tcW w:w="2380" w:type="dxa"/>
            <w:vAlign w:val="bottom"/>
          </w:tcPr>
          <w:p>
            <w:pPr>
              <w:spacing w:after="0"/>
              <w:rPr>
                <w:sz w:val="24"/>
                <w:szCs w:val="24"/>
                <w:color w:val="auto"/>
              </w:rPr>
            </w:pPr>
          </w:p>
        </w:tc>
        <w:tc>
          <w:tcPr>
            <w:tcW w:w="56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PATENTS OWNED BY ENGILITY LLC</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2380" w:type="dxa"/>
            <w:vAlign w:val="bottom"/>
          </w:tcPr>
          <w:p>
            <w:pPr>
              <w:spacing w:after="0"/>
              <w:rPr>
                <w:sz w:val="24"/>
                <w:szCs w:val="24"/>
                <w:color w:val="auto"/>
              </w:rPr>
            </w:pPr>
          </w:p>
        </w:tc>
        <w:tc>
          <w:tcPr>
            <w:tcW w:w="38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i w:val="1"/>
                <w:iCs w:val="1"/>
                <w:color w:val="auto"/>
              </w:rPr>
              <w:t>U.S. Patents</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3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2"/>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194"/>
        </w:trPr>
        <w:tc>
          <w:tcPr>
            <w:tcW w:w="238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Owner</w:t>
            </w:r>
          </w:p>
        </w:tc>
        <w:tc>
          <w:tcPr>
            <w:tcW w:w="35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16"/>
                <w:szCs w:val="16"/>
                <w:color w:val="auto"/>
              </w:rPr>
            </w:pPr>
          </w:p>
        </w:tc>
        <w:tc>
          <w:tcPr>
            <w:tcW w:w="1780" w:type="dxa"/>
            <w:vAlign w:val="bottom"/>
            <w:tcBorders>
              <w:right w:val="single" w:sz="8" w:color="auto"/>
            </w:tcBorders>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Serial No.</w:t>
            </w:r>
          </w:p>
        </w:tc>
        <w:tc>
          <w:tcPr>
            <w:tcW w:w="19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Patent No.</w:t>
            </w:r>
          </w:p>
        </w:tc>
        <w:tc>
          <w:tcPr>
            <w:tcW w:w="14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45"/>
        </w:trPr>
        <w:tc>
          <w:tcPr>
            <w:tcW w:w="2380" w:type="dxa"/>
            <w:vAlign w:val="bottom"/>
            <w:tcBorders>
              <w:left w:val="single" w:sz="8" w:color="auto"/>
              <w:bottom w:val="single" w:sz="8" w:color="auto"/>
              <w:right w:val="single" w:sz="8" w:color="auto"/>
            </w:tcBorders>
          </w:tcPr>
          <w:p>
            <w:pPr>
              <w:spacing w:after="0"/>
              <w:rPr>
                <w:sz w:val="21"/>
                <w:szCs w:val="21"/>
                <w:color w:val="auto"/>
              </w:rPr>
            </w:pPr>
          </w:p>
        </w:tc>
        <w:tc>
          <w:tcPr>
            <w:tcW w:w="35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480" w:type="dxa"/>
            <w:vAlign w:val="bottom"/>
            <w:tcBorders>
              <w:bottom w:val="single" w:sz="8" w:color="auto"/>
              <w:right w:val="single" w:sz="8" w:color="auto"/>
            </w:tcBorders>
          </w:tcPr>
          <w:p>
            <w:pPr>
              <w:spacing w:after="0"/>
              <w:rPr>
                <w:sz w:val="21"/>
                <w:szCs w:val="21"/>
                <w:color w:val="auto"/>
              </w:rPr>
            </w:pPr>
          </w:p>
        </w:tc>
      </w:tr>
      <w:tr>
        <w:trPr>
          <w:trHeight w:val="198"/>
        </w:trPr>
        <w:tc>
          <w:tcPr>
            <w:tcW w:w="23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Engility LLC</w:t>
            </w:r>
          </w:p>
        </w:tc>
        <w:tc>
          <w:tcPr>
            <w:tcW w:w="35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PRESERVING THE CONTENT OF A</w:t>
            </w:r>
          </w:p>
        </w:tc>
        <w:tc>
          <w:tcPr>
            <w:tcW w:w="240" w:type="dxa"/>
            <w:vAlign w:val="bottom"/>
          </w:tcPr>
          <w:p>
            <w:pPr>
              <w:spacing w:after="0"/>
              <w:rPr>
                <w:sz w:val="17"/>
                <w:szCs w:val="17"/>
                <w:color w:val="auto"/>
              </w:rPr>
            </w:pPr>
          </w:p>
        </w:tc>
        <w:tc>
          <w:tcPr>
            <w:tcW w:w="1780" w:type="dxa"/>
            <w:vAlign w:val="bottom"/>
            <w:tcBorders>
              <w:right w:val="single" w:sz="8" w:color="auto"/>
            </w:tcBorders>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rPr>
              <w:t>12/274,636</w:t>
            </w:r>
          </w:p>
        </w:tc>
        <w:tc>
          <w:tcPr>
            <w:tcW w:w="19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8,175,186</w:t>
            </w:r>
          </w:p>
        </w:tc>
        <w:tc>
          <w:tcPr>
            <w:tcW w:w="1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Issued</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COMMUNICATION SIGNAL CORRUPTED</w:t>
            </w:r>
          </w:p>
        </w:tc>
        <w:tc>
          <w:tcPr>
            <w:tcW w:w="24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BY INTERFERENCE DURING</w:t>
            </w:r>
          </w:p>
        </w:tc>
        <w:tc>
          <w:tcPr>
            <w:tcW w:w="240" w:type="dxa"/>
            <w:vAlign w:val="bottom"/>
          </w:tcPr>
          <w:p>
            <w:pPr>
              <w:spacing w:after="0"/>
              <w:rPr>
                <w:sz w:val="18"/>
                <w:szCs w:val="18"/>
                <w:color w:val="auto"/>
              </w:rPr>
            </w:pPr>
          </w:p>
        </w:tc>
        <w:tc>
          <w:tcPr>
            <w:tcW w:w="17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November 20, 2008</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8, 2012</w:t>
            </w:r>
          </w:p>
        </w:tc>
        <w:tc>
          <w:tcPr>
            <w:tcW w:w="1480" w:type="dxa"/>
            <w:vAlign w:val="bottom"/>
            <w:tcBorders>
              <w:right w:val="single" w:sz="8" w:color="auto"/>
            </w:tcBorders>
          </w:tcPr>
          <w:p>
            <w:pPr>
              <w:spacing w:after="0"/>
              <w:rPr>
                <w:sz w:val="18"/>
                <w:szCs w:val="18"/>
                <w:color w:val="auto"/>
              </w:rPr>
            </w:pPr>
          </w:p>
        </w:tc>
      </w:tr>
      <w:tr>
        <w:trPr>
          <w:trHeight w:val="241"/>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TRANSMISSION</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r>
      <w:tr>
        <w:trPr>
          <w:trHeight w:val="183"/>
        </w:trPr>
        <w:tc>
          <w:tcPr>
            <w:tcW w:w="23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TRADEMARK/TRADE NAMES OWNED BY ENGILITY CORPORATION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Trademark Registrations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Serial No.</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 No.</w:t>
            </w:r>
          </w:p>
        </w:tc>
        <w:tc>
          <w:tcPr>
            <w:tcW w:w="164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6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Owner of Record</w:t>
            </w:r>
          </w:p>
        </w:tc>
        <w:tc>
          <w:tcPr>
            <w:tcW w:w="0" w:type="dxa"/>
            <w:vAlign w:val="bottom"/>
          </w:tcPr>
          <w:p>
            <w:pPr>
              <w:spacing w:after="0"/>
              <w:rPr>
                <w:sz w:val="1"/>
                <w:szCs w:val="1"/>
                <w:color w:val="auto"/>
              </w:rPr>
            </w:pPr>
          </w:p>
        </w:tc>
      </w:tr>
      <w:tr>
        <w:trPr>
          <w:trHeight w:val="245"/>
        </w:trPr>
        <w:tc>
          <w:tcPr>
            <w:tcW w:w="3840" w:type="dxa"/>
            <w:vAlign w:val="bottom"/>
            <w:tcBorders>
              <w:left w:val="single" w:sz="8" w:color="auto"/>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 Date</w:t>
            </w:r>
          </w:p>
        </w:tc>
        <w:tc>
          <w:tcPr>
            <w:tcW w:w="164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85207204</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4220167</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29, 2010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9, 2012</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85206406</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4220166</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28, 2010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9, 2012</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85197087</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4354368</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14, 2010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18, 2013</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TASC (Typed Drawing)</w:t>
            </w: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73223006</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1172637</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July 12, 1979</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October 6, 1981</w:t>
            </w:r>
          </w:p>
        </w:tc>
        <w:tc>
          <w:tcPr>
            <w:tcW w:w="1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40" w:type="dxa"/>
            <w:vAlign w:val="bottom"/>
            <w:tcBorders>
              <w:left w:val="single" w:sz="8" w:color="auto"/>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85975933</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4115094</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17, 2010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20, 2012</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85084378</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4289442</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14, 2010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12, 2013</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77969427</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4430401</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Corporation</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26, 2010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12, 2013</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DRC (Typed Word Mark)</w:t>
            </w: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72424969</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0979114</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Dynamics Research</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05/19/72</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19, 1974</w:t>
            </w:r>
          </w:p>
        </w:tc>
        <w:tc>
          <w:tcPr>
            <w:tcW w:w="1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r>
        <w:trPr>
          <w:trHeight w:val="115"/>
        </w:trPr>
        <w:tc>
          <w:tcPr>
            <w:tcW w:w="3840" w:type="dxa"/>
            <w:vAlign w:val="bottom"/>
            <w:tcBorders>
              <w:left w:val="single" w:sz="8" w:color="auto"/>
              <w:bottom w:val="single" w:sz="8" w:color="auto"/>
              <w:right w:val="single" w:sz="8" w:color="auto"/>
            </w:tcBorders>
          </w:tcPr>
          <w:p>
            <w:pPr>
              <w:spacing w:after="0"/>
              <w:rPr>
                <w:sz w:val="10"/>
                <w:szCs w:val="10"/>
                <w:color w:val="auto"/>
              </w:rPr>
            </w:pPr>
          </w:p>
        </w:tc>
        <w:tc>
          <w:tcPr>
            <w:tcW w:w="204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75611016</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2754719</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Dynamics Research</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12/22/98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26, 2003</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r>
        <w:trPr>
          <w:trHeight w:val="264"/>
        </w:trPr>
        <w:tc>
          <w:tcPr>
            <w:tcW w:w="384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2"/>
                <w:szCs w:val="22"/>
                <w:color w:val="auto"/>
              </w:rPr>
            </w:pPr>
          </w:p>
        </w:tc>
        <w:tc>
          <w:tcPr>
            <w:tcW w:w="16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-4621530</wp:posOffset>
            </wp:positionV>
            <wp:extent cx="132905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329055" cy="44577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-4021455</wp:posOffset>
            </wp:positionV>
            <wp:extent cx="1783715" cy="1157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783715" cy="11576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-2555240</wp:posOffset>
            </wp:positionV>
            <wp:extent cx="1620520" cy="1200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620520" cy="120078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-582295</wp:posOffset>
            </wp:positionV>
            <wp:extent cx="1766570" cy="43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66570" cy="43751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TRADEMARKS OWNED BY ENGILITY LLC</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840" w:type="dxa"/>
            <w:vAlign w:val="bottom"/>
            <w:tcBorders>
              <w:top w:val="single" w:sz="8" w:color="auto"/>
              <w:left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Mark</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Serial No.</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 No.</w:t>
            </w:r>
          </w:p>
        </w:tc>
        <w:tc>
          <w:tcPr>
            <w:tcW w:w="164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6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Owner of Record</w:t>
            </w:r>
          </w:p>
        </w:tc>
      </w:tr>
      <w:tr>
        <w:trPr>
          <w:trHeight w:val="245"/>
        </w:trPr>
        <w:tc>
          <w:tcPr>
            <w:tcW w:w="3840" w:type="dxa"/>
            <w:vAlign w:val="bottom"/>
            <w:tcBorders>
              <w:left w:val="single" w:sz="8" w:color="auto"/>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 Date</w:t>
            </w:r>
          </w:p>
        </w:tc>
        <w:tc>
          <w:tcPr>
            <w:tcW w:w="164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75402974</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2266440</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LLC</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10, 1997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3, 1999</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r>
      <w:tr>
        <w:trPr>
          <w:trHeight w:val="156"/>
        </w:trPr>
        <w:tc>
          <w:tcPr>
            <w:tcW w:w="3840" w:type="dxa"/>
            <w:vAlign w:val="bottom"/>
            <w:tcBorders>
              <w:left w:val="single" w:sz="8" w:color="auto"/>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85382392</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4236110</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LLC</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27, 2011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6, 2012</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r>
      <w:tr>
        <w:trPr>
          <w:trHeight w:val="412"/>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r>
      <w:tr>
        <w:trPr>
          <w:trHeight w:val="198"/>
        </w:trPr>
        <w:tc>
          <w:tcPr>
            <w:tcW w:w="384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86165568</w:t>
            </w:r>
          </w:p>
        </w:tc>
        <w:tc>
          <w:tcPr>
            <w:tcW w:w="22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4635942</w:t>
            </w:r>
          </w:p>
        </w:tc>
        <w:tc>
          <w:tcPr>
            <w:tcW w:w="164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Registered</w:t>
            </w:r>
          </w:p>
        </w:tc>
        <w:tc>
          <w:tcPr>
            <w:tcW w:w="16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Engility LLC</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01/14/14</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11, 2014</w:t>
            </w:r>
          </w:p>
        </w:tc>
        <w:tc>
          <w:tcPr>
            <w:tcW w:w="164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r>
      <w:tr>
        <w:trPr>
          <w:trHeight w:val="358"/>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-1448435</wp:posOffset>
            </wp:positionV>
            <wp:extent cx="1663700" cy="1431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663700" cy="143192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Trade Names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names used by Engility Corporation and its affiliates to identify legal entities, including without limitation “DRC,” “TASC” and “MPRI,” as well as trade names used by Engility Corporation and its affiliates associated with products or services, including without limitation “Roma.”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SAIC Completes Acquistion of Engility Holdings, Inc.</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Reston, Va. and Chantilly, Va. – {January 14, 2019} Science Applications International Corp. (NYSE: SAIC) today announced the successful completion of its merger with Engility Holdings, Inc. (NYSE: EGL). The merger was </w:t>
      </w:r>
      <w:r>
        <w:rPr>
          <w:rFonts w:ascii="Times New Roman" w:cs="Times New Roman" w:eastAsia="Times New Roman" w:hAnsi="Times New Roman"/>
          <w:sz w:val="18"/>
          <w:szCs w:val="18"/>
          <w:u w:val="single" w:color="auto"/>
          <w:color w:val="auto"/>
        </w:rPr>
        <w:t>previously approved</w:t>
      </w:r>
      <w:r>
        <w:rPr>
          <w:rFonts w:ascii="Times New Roman" w:cs="Times New Roman" w:eastAsia="Times New Roman" w:hAnsi="Times New Roman"/>
          <w:sz w:val="18"/>
          <w:szCs w:val="18"/>
          <w:color w:val="auto"/>
        </w:rPr>
        <w:t xml:space="preserve"> by SAIC and Engility stockholders at special meetings held on Jan. 11, 2019. Under the terms of the merger agreement, Engility became a wholly-owned subsidiary of SAIC.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company will retain the SAIC name and continue to be headquartered in Reston, Virginia with Tony Moraco as CEO.</w:t>
      </w:r>
    </w:p>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“With the </w:t>
      </w:r>
      <w:r>
        <w:rPr>
          <w:rFonts w:ascii="Times New Roman" w:cs="Times New Roman" w:eastAsia="Times New Roman" w:hAnsi="Times New Roman"/>
          <w:sz w:val="18"/>
          <w:szCs w:val="18"/>
          <w:u w:val="single" w:color="auto"/>
          <w:color w:val="auto"/>
        </w:rPr>
        <w:t>acquisition of Engility</w:t>
      </w:r>
      <w:r>
        <w:rPr>
          <w:rFonts w:ascii="Times New Roman" w:cs="Times New Roman" w:eastAsia="Times New Roman" w:hAnsi="Times New Roman"/>
          <w:sz w:val="18"/>
          <w:szCs w:val="18"/>
          <w:color w:val="auto"/>
        </w:rPr>
        <w:t>, we are now a team of 23,000—driven by mission, united by purpose and inspired by opportunity,” said Moraco. “Add to that five consecutive quarters of organic revenue growth for SAIC and the trend is clear—we’re thriving. We are now a bigger, stronger company executing our long-term strategic plan, dedicated to exceeding customer expectations and driving shareholder value.”</w:t>
      </w:r>
    </w:p>
    <w:p>
      <w:pPr>
        <w:spacing w:after="0" w:line="20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Each eligible share of Engility common stock issued and outstanding immediately prior to the effective time of the merger was converted into the right to receive 0.450 of a share of SAIC common stock, with cash paid in lieu of any fractional shares. As a result of the merger, Engility’s common stock will no longer be listed for trading on the New York Stock Exchange and Engility will no longer have reporting obligations under the Securities Exchange Act of 1934.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SAIC</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SAIC is a premier technology integrator solving our nation’s most complex modernization and readiness challenges across the defense, space, federal civilian, and intelligence markets. Our robust portfolio of offerings includes high-end solutions in systems engineering and integration; enterprise IT, including cloud services; cyber; software; advanced analytics and simulation; and training. With an intimate understanding of our customers’ challenges and deep expertise in existing and emerging technologies, we integrate the best components from our own portfolio and our partner ecosystem to rapidly deliver innovative, effective, and efficient solutions.</w:t>
      </w:r>
    </w:p>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We are a team of 23,000 strong driven by mission, united purpose, and inspired by opportunity. Headquartered in Reston, Virginia, SAIC has annual revenues of approximately $6.5 billion. For more information, visit </w:t>
      </w:r>
      <w:r>
        <w:rPr>
          <w:rFonts w:ascii="Times New Roman" w:cs="Times New Roman" w:eastAsia="Times New Roman" w:hAnsi="Times New Roman"/>
          <w:sz w:val="18"/>
          <w:szCs w:val="18"/>
          <w:u w:val="single" w:color="auto"/>
          <w:color w:val="auto"/>
        </w:rPr>
        <w:t>saic.com</w:t>
      </w:r>
      <w:r>
        <w:rPr>
          <w:rFonts w:ascii="Times New Roman" w:cs="Times New Roman" w:eastAsia="Times New Roman" w:hAnsi="Times New Roman"/>
          <w:sz w:val="18"/>
          <w:szCs w:val="18"/>
          <w:color w:val="auto"/>
        </w:rPr>
        <w:t xml:space="preserve">. For ongoing news, please visit our </w:t>
      </w:r>
      <w:r>
        <w:rPr>
          <w:rFonts w:ascii="Times New Roman" w:cs="Times New Roman" w:eastAsia="Times New Roman" w:hAnsi="Times New Roman"/>
          <w:sz w:val="18"/>
          <w:szCs w:val="18"/>
          <w:u w:val="single" w:color="auto"/>
          <w:color w:val="auto"/>
        </w:rPr>
        <w:t>newsroom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Times New Roman" w:cs="Times New Roman" w:eastAsia="Times New Roman" w:hAnsi="Times New Roman"/>
          <w:sz w:val="18"/>
          <w:szCs w:val="18"/>
          <w:b w:val="1"/>
          <w:bCs w:val="1"/>
          <w:i w:val="1"/>
          <w:iCs w:val="1"/>
          <w:color w:val="auto"/>
        </w:rPr>
        <w:t>www.saic.com</w:t>
      </w:r>
      <w:r>
        <w:rPr>
          <w:rFonts w:ascii="Times New Roman" w:cs="Times New Roman" w:eastAsia="Times New Roman" w:hAnsi="Times New Roman"/>
          <w:sz w:val="18"/>
          <w:szCs w:val="18"/>
          <w:i w:val="1"/>
          <w:iCs w:val="1"/>
          <w:color w:val="auto"/>
        </w:rPr>
        <w:t xml:space="preserve"> or on the SEC’s website at </w:t>
      </w:r>
      <w:r>
        <w:rPr>
          <w:rFonts w:ascii="Times New Roman" w:cs="Times New Roman" w:eastAsia="Times New Roman" w:hAnsi="Times New Roman"/>
          <w:sz w:val="18"/>
          <w:szCs w:val="18"/>
          <w:b w:val="1"/>
          <w:bCs w:val="1"/>
          <w:i w:val="1"/>
          <w:iCs w:val="1"/>
          <w:u w:val="single" w:color="auto"/>
          <w:color w:val="auto"/>
        </w:rPr>
        <w:t>www.sec.gov</w:t>
      </w:r>
      <w:r>
        <w:rPr>
          <w:rFonts w:ascii="Times New Roman" w:cs="Times New Roman" w:eastAsia="Times New Roman" w:hAnsi="Times New Roman"/>
          <w:sz w:val="18"/>
          <w:szCs w:val="18"/>
          <w:i w:val="1"/>
          <w:iCs w:val="1"/>
          <w:color w:val="auto"/>
        </w:rPr>
        <w:t>.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SAIC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Presti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703.676.8982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lauren.a.presti@saic.com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SAIC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Shane Canestra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703.676.2720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shane.p.canestra@saic.com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20" Type="http://schemas.openxmlformats.org/officeDocument/2006/relationships/hyperlink" Target="http://www.sec.gov/Archives/edgar/data/1571123/000157112318000036/saic-ex21_201809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2020-01-10T02:22:30Z</dcterms:created>
  <dcterms:modified xsi:type="dcterms:W3CDTF">2020-01-10T02:22:30Z</dcterms:modified>
</cp:coreProperties>
</file>