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243205</wp:posOffset>
            </wp:positionH>
            <wp:positionV relativeFrom="page">
              <wp:posOffset>663575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577850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5"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105"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6, 2019</w:t>
      </w:r>
    </w:p>
    <w:p>
      <w:pPr>
        <w:spacing w:after="0" w:line="134"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Science Applications International Corporation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8" w:lineRule="exact"/>
        <w:rPr>
          <w:sz w:val="24"/>
          <w:szCs w:val="24"/>
          <w:color w:val="auto"/>
        </w:rPr>
      </w:pPr>
    </w:p>
    <w:p>
      <w:pPr>
        <w:ind w:left="4180"/>
        <w:spacing w:after="0"/>
        <w:rPr>
          <w:sz w:val="20"/>
          <w:szCs w:val="20"/>
          <w:color w:val="auto"/>
        </w:rPr>
      </w:pPr>
      <w:r>
        <w:rPr>
          <w:rFonts w:ascii="Arial" w:cs="Arial" w:eastAsia="Arial" w:hAnsi="Arial"/>
          <w:sz w:val="11"/>
          <w:szCs w:val="11"/>
          <w:color w:val="auto"/>
        </w:rPr>
        <w:t>_________________________________________________________</w:t>
      </w:r>
    </w:p>
    <w:p>
      <w:pPr>
        <w:sectPr>
          <w:pgSz w:w="11900" w:h="16838" w:orient="portrait"/>
          <w:cols w:equalWidth="0" w:num="1">
            <w:col w:w="11420"/>
          </w:cols>
          <w:pgMar w:left="240" w:top="1129" w:right="239" w:bottom="1440" w:gutter="0" w:footer="0" w:header="0"/>
        </w:sectPr>
      </w:pPr>
    </w:p>
    <w:p>
      <w:pPr>
        <w:spacing w:after="0" w:line="396" w:lineRule="exact"/>
        <w:rPr>
          <w:sz w:val="24"/>
          <w:szCs w:val="24"/>
          <w:color w:val="auto"/>
        </w:rPr>
      </w:pPr>
    </w:p>
    <w:p>
      <w:pPr>
        <w:ind w:left="1460"/>
        <w:spacing w:after="0"/>
        <w:rPr>
          <w:sz w:val="20"/>
          <w:szCs w:val="20"/>
          <w:color w:val="auto"/>
        </w:rPr>
      </w:pPr>
      <w:r>
        <w:rPr>
          <w:rFonts w:ascii="Arial" w:cs="Arial" w:eastAsia="Arial" w:hAnsi="Arial"/>
          <w:sz w:val="17"/>
          <w:szCs w:val="17"/>
          <w:color w:val="auto"/>
        </w:rPr>
        <w:t>Delaware</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jc w:val="center"/>
        <w:ind w:right="2240"/>
        <w:spacing w:after="0"/>
        <w:rPr>
          <w:sz w:val="20"/>
          <w:szCs w:val="20"/>
          <w:color w:val="auto"/>
        </w:rPr>
      </w:pPr>
      <w:r>
        <w:rPr>
          <w:rFonts w:ascii="Arial" w:cs="Arial" w:eastAsia="Arial" w:hAnsi="Arial"/>
          <w:sz w:val="17"/>
          <w:szCs w:val="17"/>
          <w:color w:val="auto"/>
        </w:rPr>
        <w:t>001-35832</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Arial" w:cs="Arial" w:eastAsia="Arial" w:hAnsi="Arial"/>
          <w:sz w:val="17"/>
          <w:szCs w:val="17"/>
          <w:color w:val="auto"/>
        </w:rPr>
        <w:t>46-1932921</w:t>
      </w:r>
    </w:p>
    <w:p>
      <w:pPr>
        <w:spacing w:after="0" w:line="76" w:lineRule="exact"/>
        <w:rPr>
          <w:sz w:val="24"/>
          <w:szCs w:val="24"/>
          <w:color w:val="auto"/>
        </w:rPr>
      </w:pPr>
    </w:p>
    <w:p>
      <w:pPr>
        <w:sectPr>
          <w:pgSz w:w="11900" w:h="16838" w:orient="portrait"/>
          <w:cols w:equalWidth="0" w:num="3">
            <w:col w:w="4640" w:space="720"/>
            <w:col w:w="3100" w:space="720"/>
            <w:col w:w="2240"/>
          </w:cols>
          <w:pgMar w:left="240" w:top="1129" w:right="239" w:bottom="1440" w:gutter="0" w:footer="0" w:header="0"/>
          <w:type w:val="continuous"/>
        </w:sectPr>
      </w:pPr>
    </w:p>
    <w:p>
      <w:pPr>
        <w:jc w:val="center"/>
        <w:ind w:right="940"/>
        <w:spacing w:after="0"/>
        <w:rPr>
          <w:sz w:val="20"/>
          <w:szCs w:val="20"/>
          <w:color w:val="auto"/>
        </w:rPr>
      </w:pPr>
      <w:r>
        <w:rPr>
          <w:rFonts w:ascii="Arial" w:cs="Arial" w:eastAsia="Arial" w:hAnsi="Arial"/>
          <w:sz w:val="14"/>
          <w:szCs w:val="14"/>
          <w:b w:val="1"/>
          <w:bCs w:val="1"/>
          <w:color w:val="auto"/>
        </w:rPr>
        <w:t>(State or other Jurisdiction</w:t>
      </w:r>
    </w:p>
    <w:p>
      <w:pPr>
        <w:spacing w:after="0" w:line="19" w:lineRule="exact"/>
        <w:rPr>
          <w:sz w:val="24"/>
          <w:szCs w:val="24"/>
          <w:color w:val="auto"/>
        </w:rPr>
      </w:pPr>
    </w:p>
    <w:p>
      <w:pPr>
        <w:jc w:val="center"/>
        <w:ind w:right="9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3000" w:space="720"/>
            <w:col w:w="2360"/>
          </w:cols>
          <w:pgMar w:left="240" w:top="1129" w:right="239" w:bottom="1440" w:gutter="0" w:footer="0" w:header="0"/>
          <w:type w:val="continuous"/>
        </w:sectPr>
      </w:pP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12010 Sunset Hills Road, Reston, VA 20190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(703) 676-4300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ectPr>
          <w:pgSz w:w="11900" w:h="16838" w:orient="portrait"/>
          <w:cols w:equalWidth="0" w:num="1">
            <w:col w:w="11420"/>
          </w:cols>
          <w:pgMar w:left="240" w:top="1129" w:right="239" w:bottom="1440" w:gutter="0" w:footer="0" w:header="0"/>
          <w:type w:val="continuous"/>
        </w:sectPr>
      </w:pPr>
    </w:p>
    <w:p>
      <w:pPr>
        <w:spacing w:after="0" w:line="216"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i w:val="1"/>
          <w:iCs w:val="1"/>
          <w:color w:val="auto"/>
        </w:rPr>
        <w:t>Results of Operations and Financial Condition</w:t>
      </w:r>
    </w:p>
    <w:p>
      <w:pPr>
        <w:spacing w:after="0" w:line="139"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On June 6, 2019, Science Applications International Corporation issued a press release announcing its financial results for the first fiscal quarter ended May 3, 2019. A copy of the press release is furnished as Exhibit 99.1 to this report.</w:t>
      </w:r>
    </w:p>
    <w:p>
      <w:pPr>
        <w:spacing w:after="0" w:line="196"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Company’s management will discuss operations and financial results in an earnings conference call beginning at 8:00 a.m. Eastern time on June 6, 2019. A live audio broadcast of the conference call along with a supplemental presentation will be available to the public through links on the Investor Relations section of the Company’s website (http://investors.saic.com).</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information contained in this report, including Exhibit 99.1, shall not be deemed to be “filed” for purposes of Section 18 of the Securities Exchange Act of 1934, as amended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i w:val="1"/>
          <w:iCs w:val="1"/>
          <w:color w:val="auto"/>
        </w:rPr>
        <w:t>Financial Statements and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Exhibit</w:t>
            </w:r>
          </w:p>
        </w:tc>
        <w:tc>
          <w:tcPr>
            <w:tcW w:w="3680" w:type="dxa"/>
            <w:vAlign w:val="bottom"/>
          </w:tcPr>
          <w:p>
            <w:pPr>
              <w:spacing w:after="0"/>
              <w:rPr>
                <w:sz w:val="14"/>
                <w:szCs w:val="14"/>
                <w:color w:val="auto"/>
              </w:rPr>
            </w:pPr>
          </w:p>
        </w:tc>
      </w:tr>
      <w:tr>
        <w:trPr>
          <w:trHeight w:val="196"/>
        </w:trPr>
        <w:tc>
          <w:tcPr>
            <w:tcW w:w="12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Number</w:t>
            </w:r>
          </w:p>
        </w:tc>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499"/>
        </w:trPr>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bottom w:val="single" w:sz="8" w:color="2B4C9B"/>
            </w:tcBorders>
          </w:tcPr>
          <w:p>
            <w:pPr>
              <w:jc w:val="center"/>
              <w:spacing w:after="0"/>
              <w:rPr>
                <w:sz w:val="20"/>
                <w:szCs w:val="20"/>
                <w:color w:val="auto"/>
              </w:rPr>
            </w:pPr>
            <w:r>
              <w:rPr>
                <w:rFonts w:ascii="Arial" w:cs="Arial" w:eastAsia="Arial" w:hAnsi="Arial"/>
                <w:sz w:val="18"/>
                <w:szCs w:val="18"/>
                <w:color w:val="2B4C9B"/>
              </w:rPr>
              <w:t>99.</w:t>
            </w:r>
            <w:r>
              <w:rPr>
                <w:rFonts w:ascii="Arial" w:cs="Arial" w:eastAsia="Arial" w:hAnsi="Arial"/>
                <w:sz w:val="18"/>
                <w:szCs w:val="18"/>
                <w:u w:val="single" w:color="auto"/>
                <w:color w:val="2B4C9B"/>
              </w:rPr>
              <w:t>1</w:t>
            </w:r>
          </w:p>
        </w:tc>
        <w:tc>
          <w:tcPr>
            <w:tcW w:w="1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dated June 6, 2019</w:t>
            </w:r>
          </w:p>
        </w:tc>
      </w:tr>
    </w:tbl>
    <w:p>
      <w:pPr>
        <w:sectPr>
          <w:pgSz w:w="11900" w:h="16838" w:orient="portrait"/>
          <w:cols w:equalWidth="0" w:num="1">
            <w:col w:w="11420"/>
          </w:cols>
          <w:pgMar w:left="240" w:top="765" w:right="2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June 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G.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14605</wp:posOffset>
            </wp:positionV>
            <wp:extent cx="25730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Steven G. Mahon</w:t>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Executive Vice President, General Counsel and Corporate</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120"/>
          </w:cols>
          <w:pgMar w:left="240" w:top="765"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543685" cy="1029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68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SAIC Announces First Quarter of Fiscal Year 2020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Revenues: $1.6 billion; </w:t>
      </w:r>
      <w:r>
        <w:rPr>
          <w:rFonts w:ascii="Arial" w:cs="Arial" w:eastAsia="Arial" w:hAnsi="Arial"/>
          <w:sz w:val="18"/>
          <w:szCs w:val="18"/>
          <w:b w:val="1"/>
          <w:bCs w:val="1"/>
          <w:color w:val="auto"/>
        </w:rPr>
        <w:t>37%</w:t>
      </w:r>
      <w:r>
        <w:rPr>
          <w:rFonts w:ascii="Arial" w:cs="Arial" w:eastAsia="Arial" w:hAnsi="Arial"/>
          <w:sz w:val="18"/>
          <w:szCs w:val="18"/>
          <w:b w:val="1"/>
          <w:bCs w:val="1"/>
          <w:i w:val="1"/>
          <w:iCs w:val="1"/>
          <w:color w:val="auto"/>
        </w:rPr>
        <w:t xml:space="preserve"> revenue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 $0.92; Adjusted diluted earnings per share</w:t>
      </w:r>
      <w:r>
        <w:rPr>
          <w:rFonts w:ascii="Arial" w:cs="Arial" w:eastAsia="Arial" w:hAnsi="Arial"/>
          <w:sz w:val="21"/>
          <w:szCs w:val="21"/>
          <w:b w:val="1"/>
          <w:bCs w:val="1"/>
          <w:i w:val="1"/>
          <w:iCs w:val="1"/>
          <w:color w:val="auto"/>
          <w:vertAlign w:val="superscript"/>
        </w:rPr>
        <w:t>(1)</w:t>
      </w:r>
      <w:r>
        <w:rPr>
          <w:rFonts w:ascii="Arial" w:cs="Arial" w:eastAsia="Arial" w:hAnsi="Arial"/>
          <w:sz w:val="18"/>
          <w:szCs w:val="18"/>
          <w:b w:val="1"/>
          <w:bCs w:val="1"/>
          <w:i w:val="1"/>
          <w:iCs w:val="1"/>
          <w:color w:val="auto"/>
        </w:rPr>
        <w:t>: $1.36</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r>
        <w:rPr>
          <w:rFonts w:ascii="Arial" w:cs="Arial" w:eastAsia="Arial" w:hAnsi="Arial"/>
          <w:sz w:val="21"/>
          <w:szCs w:val="21"/>
          <w:b w:val="1"/>
          <w:bCs w:val="1"/>
          <w:i w:val="1"/>
          <w:iCs w:val="1"/>
          <w:color w:val="auto"/>
          <w:vertAlign w:val="superscript"/>
        </w:rPr>
        <w:t>(1)</w:t>
      </w:r>
      <w:r>
        <w:rPr>
          <w:rFonts w:ascii="Arial" w:cs="Arial" w:eastAsia="Arial" w:hAnsi="Arial"/>
          <w:sz w:val="18"/>
          <w:szCs w:val="18"/>
          <w:b w:val="1"/>
          <w:bCs w:val="1"/>
          <w:i w:val="1"/>
          <w:iCs w:val="1"/>
          <w:color w:val="auto"/>
        </w:rPr>
        <w:t xml:space="preserve"> as a % of revenues: 8.3%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 $178 million</w:t>
      </w:r>
    </w:p>
    <w:p>
      <w:pPr>
        <w:spacing w:after="0" w:line="171" w:lineRule="exact"/>
        <w:rPr>
          <w:sz w:val="20"/>
          <w:szCs w:val="20"/>
          <w:color w:val="auto"/>
        </w:rPr>
      </w:pPr>
    </w:p>
    <w:p>
      <w:pPr>
        <w:ind w:right="2080"/>
        <w:spacing w:after="0" w:line="475" w:lineRule="auto"/>
        <w:rPr>
          <w:sz w:val="20"/>
          <w:szCs w:val="20"/>
          <w:color w:val="auto"/>
        </w:rPr>
      </w:pPr>
      <w:r>
        <w:rPr>
          <w:rFonts w:ascii="Arial" w:cs="Arial" w:eastAsia="Arial" w:hAnsi="Arial"/>
          <w:sz w:val="18"/>
          <w:szCs w:val="18"/>
          <w:b w:val="1"/>
          <w:bCs w:val="1"/>
          <w:i w:val="1"/>
          <w:iCs w:val="1"/>
          <w:color w:val="auto"/>
        </w:rPr>
        <w:t>Contract awards of $1.9 billion, including $300 million of single award IDIQ value; Net bookings of $1.4 billion Repurchased 591 thousand shares for $44 million</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RESTON, VA, June 6, 2019—Science Applications International Corporation (NYSE: SAIC), a leading technology integrator providing high-end solutions in engineering, IT, and mission solutions across the defense, space, civilian, and intelligence markets, today announced results for the first quarter ended May 3, 2019.</w:t>
      </w:r>
    </w:p>
    <w:p>
      <w:pPr>
        <w:spacing w:after="0" w:line="94" w:lineRule="exact"/>
        <w:rPr>
          <w:sz w:val="20"/>
          <w:szCs w:val="20"/>
          <w:color w:val="auto"/>
        </w:rPr>
      </w:pPr>
    </w:p>
    <w:p>
      <w:pPr>
        <w:ind w:left="660" w:right="60"/>
        <w:spacing w:after="0" w:line="278" w:lineRule="auto"/>
        <w:rPr>
          <w:sz w:val="20"/>
          <w:szCs w:val="20"/>
          <w:color w:val="auto"/>
        </w:rPr>
      </w:pPr>
      <w:r>
        <w:rPr>
          <w:rFonts w:ascii="Arial" w:cs="Arial" w:eastAsia="Arial" w:hAnsi="Arial"/>
          <w:sz w:val="17"/>
          <w:szCs w:val="17"/>
          <w:color w:val="auto"/>
        </w:rPr>
        <w:t>“SAIC is off to a strong start to fiscal year 2020, keeping our attention on strong operational performance while continuing the integration of Engility," said SAIC CEO-Elect, Nazzic Keene. "The transition of CEO responsibilities has gone smoothly while executing our business strategy to accelerate sustained profitable growth through our newly acquired capabilities, talent, and customer access."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of Fiscal Year 2020: Summary Operating Results</w:t>
      </w:r>
    </w:p>
    <w:p>
      <w:pPr>
        <w:spacing w:after="0" w:line="34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75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May 3, 2019</w:t>
            </w:r>
          </w:p>
        </w:tc>
        <w:tc>
          <w:tcPr>
            <w:tcW w:w="960" w:type="dxa"/>
            <w:vAlign w:val="bottom"/>
          </w:tcPr>
          <w:p>
            <w:pPr>
              <w:jc w:val="right"/>
              <w:ind w:right="202"/>
              <w:spacing w:after="0"/>
              <w:rPr>
                <w:sz w:val="20"/>
                <w:szCs w:val="20"/>
                <w:color w:val="auto"/>
              </w:rPr>
            </w:pPr>
            <w:r>
              <w:rPr>
                <w:rFonts w:ascii="Arial" w:cs="Arial" w:eastAsia="Arial" w:hAnsi="Arial"/>
                <w:sz w:val="14"/>
                <w:szCs w:val="14"/>
                <w:i w:val="1"/>
                <w:iCs w:val="1"/>
                <w:color w:val="auto"/>
              </w:rPr>
              <w:t>Percent</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i w:val="1"/>
                <w:iCs w:val="1"/>
                <w:color w:val="auto"/>
              </w:rPr>
              <w:t>change</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May 4, 2018</w:t>
            </w: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4"/>
          </w:tcPr>
          <w:p>
            <w:pPr>
              <w:jc w:val="right"/>
              <w:ind w:right="496"/>
              <w:spacing w:after="0"/>
              <w:rPr>
                <w:sz w:val="20"/>
                <w:szCs w:val="20"/>
                <w:color w:val="auto"/>
              </w:rPr>
            </w:pPr>
            <w:r>
              <w:rPr>
                <w:rFonts w:ascii="Arial" w:cs="Arial" w:eastAsia="Arial" w:hAnsi="Arial"/>
                <w:sz w:val="14"/>
                <w:szCs w:val="14"/>
                <w:color w:val="auto"/>
              </w:rPr>
              <w:t>(in millions, except per share amounts)</w:t>
            </w:r>
          </w:p>
        </w:tc>
        <w:tc>
          <w:tcPr>
            <w:tcW w:w="0" w:type="dxa"/>
            <w:vAlign w:val="bottom"/>
          </w:tcPr>
          <w:p>
            <w:pPr>
              <w:spacing w:after="0"/>
              <w:rPr>
                <w:sz w:val="1"/>
                <w:szCs w:val="1"/>
                <w:color w:val="auto"/>
              </w:rPr>
            </w:pPr>
          </w:p>
        </w:tc>
      </w:tr>
      <w:tr>
        <w:trPr>
          <w:trHeight w:val="27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8"/>
                <w:szCs w:val="18"/>
                <w:b w:val="1"/>
                <w:bCs w:val="1"/>
                <w:color w:val="auto"/>
              </w:rPr>
              <w:t>1,615</w:t>
            </w: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i w:val="1"/>
                <w:iCs w:val="1"/>
                <w:color w:val="auto"/>
              </w:rPr>
              <w:t>37 %</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57"/>
        </w:trPr>
        <w:tc>
          <w:tcPr>
            <w:tcW w:w="75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2"/>
                <w:szCs w:val="22"/>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b w:val="1"/>
                <w:bCs w:val="1"/>
                <w:color w:val="auto"/>
              </w:rPr>
              <w:t>93</w:t>
            </w:r>
          </w:p>
        </w:tc>
        <w:tc>
          <w:tcPr>
            <w:tcW w:w="960" w:type="dxa"/>
            <w:vAlign w:val="bottom"/>
          </w:tcPr>
          <w:p>
            <w:pPr>
              <w:jc w:val="right"/>
              <w:ind w:right="102"/>
              <w:spacing w:after="0"/>
              <w:rPr>
                <w:sz w:val="20"/>
                <w:szCs w:val="20"/>
                <w:color w:val="auto"/>
              </w:rPr>
            </w:pPr>
            <w:r>
              <w:rPr>
                <w:rFonts w:ascii="Arial" w:cs="Arial" w:eastAsia="Arial" w:hAnsi="Arial"/>
                <w:sz w:val="16"/>
                <w:szCs w:val="16"/>
                <w:i w:val="1"/>
                <w:iCs w:val="1"/>
                <w:color w:val="auto"/>
              </w:rPr>
              <w:t>41 %</w:t>
            </w:r>
          </w:p>
        </w:tc>
        <w:tc>
          <w:tcPr>
            <w:tcW w:w="240" w:type="dxa"/>
            <w:vAlign w:val="bottom"/>
          </w:tcPr>
          <w:p>
            <w:pPr>
              <w:spacing w:after="0"/>
              <w:rPr>
                <w:sz w:val="22"/>
                <w:szCs w:val="22"/>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8"/>
        </w:trPr>
        <w:tc>
          <w:tcPr>
            <w:tcW w:w="7560" w:type="dxa"/>
            <w:vAlign w:val="bottom"/>
          </w:tcPr>
          <w:p>
            <w:pPr>
              <w:ind w:left="160"/>
              <w:spacing w:after="0"/>
              <w:rPr>
                <w:sz w:val="20"/>
                <w:szCs w:val="20"/>
                <w:color w:val="auto"/>
              </w:rPr>
            </w:pPr>
            <w:r>
              <w:rPr>
                <w:rFonts w:ascii="Arial" w:cs="Arial" w:eastAsia="Arial" w:hAnsi="Arial"/>
                <w:sz w:val="14"/>
                <w:szCs w:val="14"/>
                <w:i w:val="1"/>
                <w:iCs w:val="1"/>
                <w:color w:val="auto"/>
              </w:rPr>
              <w:t>Operating income as a percentage of revenues</w:t>
            </w:r>
          </w:p>
        </w:tc>
        <w:tc>
          <w:tcPr>
            <w:tcW w:w="220" w:type="dxa"/>
            <w:vAlign w:val="bottom"/>
          </w:tcPr>
          <w:p>
            <w:pPr>
              <w:spacing w:after="0"/>
              <w:rPr>
                <w:sz w:val="24"/>
                <w:szCs w:val="24"/>
                <w:color w:val="auto"/>
              </w:rPr>
            </w:pPr>
          </w:p>
        </w:tc>
        <w:tc>
          <w:tcPr>
            <w:tcW w:w="1220" w:type="dxa"/>
            <w:vAlign w:val="bottom"/>
          </w:tcPr>
          <w:p>
            <w:pPr>
              <w:jc w:val="right"/>
              <w:ind w:right="117"/>
              <w:spacing w:after="0"/>
              <w:rPr>
                <w:sz w:val="20"/>
                <w:szCs w:val="20"/>
                <w:color w:val="auto"/>
              </w:rPr>
            </w:pPr>
            <w:r>
              <w:rPr>
                <w:rFonts w:ascii="Arial" w:cs="Arial" w:eastAsia="Arial" w:hAnsi="Arial"/>
                <w:sz w:val="14"/>
                <w:szCs w:val="14"/>
                <w:b w:val="1"/>
                <w:bCs w:val="1"/>
                <w:i w:val="1"/>
                <w:iCs w:val="1"/>
                <w:color w:val="auto"/>
              </w:rPr>
              <w:t>5.8%</w:t>
            </w:r>
          </w:p>
        </w:tc>
        <w:tc>
          <w:tcPr>
            <w:tcW w:w="960" w:type="dxa"/>
            <w:vAlign w:val="bottom"/>
          </w:tcPr>
          <w:p>
            <w:pPr>
              <w:jc w:val="right"/>
              <w:ind w:right="2"/>
              <w:spacing w:after="0"/>
              <w:rPr>
                <w:sz w:val="20"/>
                <w:szCs w:val="20"/>
                <w:color w:val="auto"/>
              </w:rPr>
            </w:pPr>
            <w:r>
              <w:rPr>
                <w:rFonts w:ascii="Arial" w:cs="Arial" w:eastAsia="Arial" w:hAnsi="Arial"/>
                <w:sz w:val="14"/>
                <w:szCs w:val="14"/>
                <w:i w:val="1"/>
                <w:iCs w:val="1"/>
                <w:color w:val="auto"/>
              </w:rPr>
              <w:t>20 bps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5.6%</w:t>
            </w:r>
          </w:p>
        </w:tc>
        <w:tc>
          <w:tcPr>
            <w:tcW w:w="0" w:type="dxa"/>
            <w:vAlign w:val="bottom"/>
          </w:tcPr>
          <w:p>
            <w:pPr>
              <w:spacing w:after="0"/>
              <w:rPr>
                <w:sz w:val="1"/>
                <w:szCs w:val="1"/>
                <w:color w:val="auto"/>
              </w:rPr>
            </w:pPr>
          </w:p>
        </w:tc>
      </w:tr>
      <w:tr>
        <w:trPr>
          <w:trHeight w:val="27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operating income</w:t>
            </w:r>
            <w:r>
              <w:rPr>
                <w:rFonts w:ascii="Arial" w:cs="Arial" w:eastAsia="Arial" w:hAnsi="Arial"/>
                <w:sz w:val="21"/>
                <w:szCs w:val="21"/>
                <w:color w:val="auto"/>
                <w:vertAlign w:val="superscript"/>
              </w:rPr>
              <w:t>(1)</w:t>
            </w:r>
          </w:p>
        </w:tc>
        <w:tc>
          <w:tcPr>
            <w:tcW w:w="22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8"/>
                <w:szCs w:val="18"/>
                <w:b w:val="1"/>
                <w:bCs w:val="1"/>
                <w:color w:val="auto"/>
              </w:rPr>
              <w:t>101</w:t>
            </w: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i w:val="1"/>
                <w:iCs w:val="1"/>
                <w:color w:val="auto"/>
              </w:rPr>
              <w:t>53 %</w:t>
            </w:r>
          </w:p>
        </w:tc>
        <w:tc>
          <w:tcPr>
            <w:tcW w:w="24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7560" w:type="dxa"/>
            <w:vAlign w:val="bottom"/>
            <w:shd w:val="clear" w:color="auto" w:fill="CFF0FC"/>
          </w:tcPr>
          <w:p>
            <w:pPr>
              <w:ind w:left="160"/>
              <w:spacing w:after="0"/>
              <w:rPr>
                <w:sz w:val="20"/>
                <w:szCs w:val="20"/>
                <w:color w:val="auto"/>
              </w:rPr>
            </w:pPr>
            <w:r>
              <w:rPr>
                <w:rFonts w:ascii="Arial" w:cs="Arial" w:eastAsia="Arial" w:hAnsi="Arial"/>
                <w:sz w:val="14"/>
                <w:szCs w:val="14"/>
                <w:i w:val="1"/>
                <w:iCs w:val="1"/>
                <w:color w:val="auto"/>
              </w:rPr>
              <w:t>Adjusted operating income as a percentage of revenues</w:t>
            </w:r>
          </w:p>
        </w:tc>
        <w:tc>
          <w:tcPr>
            <w:tcW w:w="22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17"/>
              <w:spacing w:after="0"/>
              <w:rPr>
                <w:sz w:val="20"/>
                <w:szCs w:val="20"/>
                <w:color w:val="auto"/>
              </w:rPr>
            </w:pPr>
            <w:r>
              <w:rPr>
                <w:rFonts w:ascii="Arial" w:cs="Arial" w:eastAsia="Arial" w:hAnsi="Arial"/>
                <w:sz w:val="14"/>
                <w:szCs w:val="14"/>
                <w:b w:val="1"/>
                <w:bCs w:val="1"/>
                <w:i w:val="1"/>
                <w:iCs w:val="1"/>
                <w:color w:val="auto"/>
              </w:rPr>
              <w:t>6.3%</w:t>
            </w:r>
          </w:p>
        </w:tc>
        <w:tc>
          <w:tcPr>
            <w:tcW w:w="960" w:type="dxa"/>
            <w:vAlign w:val="bottom"/>
            <w:shd w:val="clear" w:color="auto" w:fill="CFF0FC"/>
          </w:tcPr>
          <w:p>
            <w:pPr>
              <w:jc w:val="right"/>
              <w:ind w:right="2"/>
              <w:spacing w:after="0"/>
              <w:rPr>
                <w:sz w:val="20"/>
                <w:szCs w:val="20"/>
                <w:color w:val="auto"/>
              </w:rPr>
            </w:pPr>
            <w:r>
              <w:rPr>
                <w:rFonts w:ascii="Arial" w:cs="Arial" w:eastAsia="Arial" w:hAnsi="Arial"/>
                <w:sz w:val="14"/>
                <w:szCs w:val="14"/>
                <w:i w:val="1"/>
                <w:iCs w:val="1"/>
                <w:color w:val="auto"/>
              </w:rPr>
              <w:t>70 bps</w:t>
            </w:r>
          </w:p>
        </w:tc>
        <w:tc>
          <w:tcPr>
            <w:tcW w:w="24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5.6%</w:t>
            </w:r>
          </w:p>
        </w:tc>
        <w:tc>
          <w:tcPr>
            <w:tcW w:w="0" w:type="dxa"/>
            <w:vAlign w:val="bottom"/>
          </w:tcPr>
          <w:p>
            <w:pPr>
              <w:spacing w:after="0"/>
              <w:rPr>
                <w:sz w:val="1"/>
                <w:szCs w:val="1"/>
                <w:color w:val="auto"/>
              </w:rPr>
            </w:pPr>
          </w:p>
        </w:tc>
      </w:tr>
      <w:tr>
        <w:trPr>
          <w:trHeight w:val="264"/>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55</w:t>
            </w: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i w:val="1"/>
                <w:iCs w:val="1"/>
                <w:color w:val="auto"/>
              </w:rPr>
              <w:t>12 %</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21"/>
                <w:szCs w:val="21"/>
                <w:color w:val="auto"/>
                <w:vertAlign w:val="superscript"/>
              </w:rPr>
              <w:t>(1)</w:t>
            </w:r>
          </w:p>
        </w:tc>
        <w:tc>
          <w:tcPr>
            <w:tcW w:w="22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8"/>
                <w:szCs w:val="18"/>
                <w:b w:val="1"/>
                <w:bCs w:val="1"/>
                <w:color w:val="auto"/>
              </w:rPr>
              <w:t>126</w:t>
            </w: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i w:val="1"/>
                <w:iCs w:val="1"/>
                <w:color w:val="auto"/>
              </w:rPr>
              <w:t>66 %</w:t>
            </w:r>
          </w:p>
        </w:tc>
        <w:tc>
          <w:tcPr>
            <w:tcW w:w="240" w:type="dxa"/>
            <w:vAlign w:val="bottom"/>
            <w:shd w:val="clear" w:color="auto" w:fill="CFF0FC"/>
          </w:tcPr>
          <w:p>
            <w:pPr>
              <w:spacing w:after="0"/>
              <w:rPr>
                <w:sz w:val="23"/>
                <w:szCs w:val="23"/>
                <w:color w:val="auto"/>
              </w:rPr>
            </w:pP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7560" w:type="dxa"/>
            <w:vAlign w:val="bottom"/>
            <w:shd w:val="clear" w:color="auto" w:fill="CFF0FC"/>
          </w:tcPr>
          <w:p>
            <w:pPr>
              <w:ind w:left="160"/>
              <w:spacing w:after="0"/>
              <w:rPr>
                <w:sz w:val="20"/>
                <w:szCs w:val="20"/>
                <w:color w:val="auto"/>
              </w:rPr>
            </w:pPr>
            <w:r>
              <w:rPr>
                <w:rFonts w:ascii="Arial" w:cs="Arial" w:eastAsia="Arial" w:hAnsi="Arial"/>
                <w:sz w:val="14"/>
                <w:szCs w:val="14"/>
                <w:i w:val="1"/>
                <w:iCs w:val="1"/>
                <w:color w:val="auto"/>
              </w:rPr>
              <w:t>EBITDA as a percentage of revenues</w:t>
            </w:r>
          </w:p>
        </w:tc>
        <w:tc>
          <w:tcPr>
            <w:tcW w:w="22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17"/>
              <w:spacing w:after="0"/>
              <w:rPr>
                <w:sz w:val="20"/>
                <w:szCs w:val="20"/>
                <w:color w:val="auto"/>
              </w:rPr>
            </w:pPr>
            <w:r>
              <w:rPr>
                <w:rFonts w:ascii="Arial" w:cs="Arial" w:eastAsia="Arial" w:hAnsi="Arial"/>
                <w:sz w:val="14"/>
                <w:szCs w:val="14"/>
                <w:b w:val="1"/>
                <w:bCs w:val="1"/>
                <w:i w:val="1"/>
                <w:iCs w:val="1"/>
                <w:color w:val="auto"/>
              </w:rPr>
              <w:t>7.8%</w:t>
            </w:r>
          </w:p>
        </w:tc>
        <w:tc>
          <w:tcPr>
            <w:tcW w:w="960" w:type="dxa"/>
            <w:vAlign w:val="bottom"/>
            <w:shd w:val="clear" w:color="auto" w:fill="CFF0FC"/>
          </w:tcPr>
          <w:p>
            <w:pPr>
              <w:jc w:val="right"/>
              <w:ind w:right="2"/>
              <w:spacing w:after="0"/>
              <w:rPr>
                <w:sz w:val="20"/>
                <w:szCs w:val="20"/>
                <w:color w:val="auto"/>
              </w:rPr>
            </w:pPr>
            <w:r>
              <w:rPr>
                <w:rFonts w:ascii="Arial" w:cs="Arial" w:eastAsia="Arial" w:hAnsi="Arial"/>
                <w:sz w:val="14"/>
                <w:szCs w:val="14"/>
                <w:i w:val="1"/>
                <w:iCs w:val="1"/>
                <w:color w:val="auto"/>
              </w:rPr>
              <w:t>130 bps</w:t>
            </w:r>
          </w:p>
        </w:tc>
        <w:tc>
          <w:tcPr>
            <w:tcW w:w="240" w:type="dxa"/>
            <w:vAlign w:val="bottom"/>
            <w:shd w:val="clear" w:color="auto" w:fill="CFF0FC"/>
          </w:tcPr>
          <w:p>
            <w:pPr>
              <w:spacing w:after="0"/>
              <w:rPr>
                <w:sz w:val="23"/>
                <w:szCs w:val="2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i w:val="1"/>
                <w:iCs w:val="1"/>
                <w:color w:val="auto"/>
              </w:rPr>
              <w:t>6.5%</w:t>
            </w:r>
          </w:p>
        </w:tc>
        <w:tc>
          <w:tcPr>
            <w:tcW w:w="0" w:type="dxa"/>
            <w:vAlign w:val="bottom"/>
          </w:tcPr>
          <w:p>
            <w:pPr>
              <w:spacing w:after="0"/>
              <w:rPr>
                <w:sz w:val="1"/>
                <w:szCs w:val="1"/>
                <w:color w:val="auto"/>
              </w:rPr>
            </w:pPr>
          </w:p>
        </w:tc>
      </w:tr>
      <w:tr>
        <w:trPr>
          <w:trHeight w:val="314"/>
        </w:trPr>
        <w:tc>
          <w:tcPr>
            <w:tcW w:w="756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1220" w:type="dxa"/>
            <w:vAlign w:val="bottom"/>
          </w:tcPr>
          <w:p>
            <w:pPr>
              <w:jc w:val="right"/>
              <w:ind w:right="237"/>
              <w:spacing w:after="0"/>
              <w:rPr>
                <w:sz w:val="20"/>
                <w:szCs w:val="20"/>
                <w:color w:val="auto"/>
              </w:rPr>
            </w:pPr>
            <w:r>
              <w:rPr>
                <w:rFonts w:ascii="Arial" w:cs="Arial" w:eastAsia="Arial" w:hAnsi="Arial"/>
                <w:sz w:val="18"/>
                <w:szCs w:val="18"/>
                <w:b w:val="1"/>
                <w:bCs w:val="1"/>
                <w:color w:val="auto"/>
              </w:rPr>
              <w:t>134</w:t>
            </w:r>
          </w:p>
        </w:tc>
        <w:tc>
          <w:tcPr>
            <w:tcW w:w="960" w:type="dxa"/>
            <w:vAlign w:val="bottom"/>
          </w:tcPr>
          <w:p>
            <w:pPr>
              <w:jc w:val="right"/>
              <w:ind w:right="102"/>
              <w:spacing w:after="0"/>
              <w:rPr>
                <w:sz w:val="20"/>
                <w:szCs w:val="20"/>
                <w:color w:val="auto"/>
              </w:rPr>
            </w:pPr>
            <w:r>
              <w:rPr>
                <w:rFonts w:ascii="Arial" w:cs="Arial" w:eastAsia="Arial" w:hAnsi="Arial"/>
                <w:sz w:val="16"/>
                <w:szCs w:val="16"/>
                <w:i w:val="1"/>
                <w:iCs w:val="1"/>
                <w:color w:val="auto"/>
              </w:rPr>
              <w:t>76 %</w:t>
            </w:r>
          </w:p>
        </w:tc>
        <w:tc>
          <w:tcPr>
            <w:tcW w:w="240" w:type="dxa"/>
            <w:vAlign w:val="bottom"/>
          </w:tcPr>
          <w:p>
            <w:pPr>
              <w:spacing w:after="0"/>
              <w:rPr>
                <w:sz w:val="24"/>
                <w:szCs w:val="24"/>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0"/>
        </w:trPr>
        <w:tc>
          <w:tcPr>
            <w:tcW w:w="7560" w:type="dxa"/>
            <w:vAlign w:val="bottom"/>
            <w:tcBorders>
              <w:bottom w:val="single" w:sz="8" w:color="auto"/>
            </w:tcBorders>
          </w:tcPr>
          <w:p>
            <w:pPr>
              <w:ind w:left="160"/>
              <w:spacing w:after="0"/>
              <w:rPr>
                <w:sz w:val="20"/>
                <w:szCs w:val="20"/>
                <w:color w:val="auto"/>
              </w:rPr>
            </w:pPr>
            <w:r>
              <w:rPr>
                <w:rFonts w:ascii="Arial" w:cs="Arial" w:eastAsia="Arial" w:hAnsi="Arial"/>
                <w:sz w:val="14"/>
                <w:szCs w:val="14"/>
                <w:i w:val="1"/>
                <w:iCs w:val="1"/>
                <w:color w:val="auto"/>
              </w:rPr>
              <w:t>Adjusted EBITDA as a percentage of revenues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i w:val="1"/>
                <w:iCs w:val="1"/>
                <w:color w:val="auto"/>
              </w:rPr>
              <w:t>8.3%</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i w:val="1"/>
                <w:iCs w:val="1"/>
                <w:color w:val="auto"/>
              </w:rPr>
              <w:t>180 bps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6.5%</w:t>
            </w:r>
          </w:p>
        </w:tc>
        <w:tc>
          <w:tcPr>
            <w:tcW w:w="0" w:type="dxa"/>
            <w:vAlign w:val="bottom"/>
          </w:tcPr>
          <w:p>
            <w:pPr>
              <w:spacing w:after="0"/>
              <w:rPr>
                <w:sz w:val="1"/>
                <w:szCs w:val="1"/>
                <w:color w:val="auto"/>
              </w:rPr>
            </w:pPr>
          </w:p>
        </w:tc>
      </w:tr>
      <w:tr>
        <w:trPr>
          <w:trHeight w:val="27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8"/>
                <w:szCs w:val="18"/>
                <w:b w:val="1"/>
                <w:bCs w:val="1"/>
                <w:color w:val="auto"/>
              </w:rPr>
              <w:t>0.92</w:t>
            </w:r>
          </w:p>
        </w:tc>
        <w:tc>
          <w:tcPr>
            <w:tcW w:w="960" w:type="dxa"/>
            <w:vAlign w:val="bottom"/>
            <w:shd w:val="clear" w:color="auto" w:fill="CFF0FC"/>
          </w:tcPr>
          <w:p>
            <w:pPr>
              <w:jc w:val="right"/>
              <w:ind w:right="82"/>
              <w:spacing w:after="0"/>
              <w:rPr>
                <w:sz w:val="20"/>
                <w:szCs w:val="20"/>
                <w:color w:val="auto"/>
              </w:rPr>
            </w:pPr>
            <w:r>
              <w:rPr>
                <w:rFonts w:ascii="Arial" w:cs="Arial" w:eastAsia="Arial" w:hAnsi="Arial"/>
                <w:sz w:val="16"/>
                <w:szCs w:val="16"/>
                <w:i w:val="1"/>
                <w:iCs w:val="1"/>
                <w:color w:val="auto"/>
              </w:rPr>
              <w:t>(19)%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0"/>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1"/>
                <w:szCs w:val="21"/>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1.36</w:t>
            </w: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i w:val="1"/>
                <w:iCs w:val="1"/>
                <w:color w:val="auto"/>
              </w:rPr>
              <w:t>11 %</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64"/>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FF0FC"/>
          </w:tcPr>
          <w:p>
            <w:pPr>
              <w:jc w:val="right"/>
              <w:ind w:right="237"/>
              <w:spacing w:after="0"/>
              <w:rPr>
                <w:sz w:val="20"/>
                <w:szCs w:val="20"/>
                <w:color w:val="auto"/>
              </w:rPr>
            </w:pPr>
            <w:r>
              <w:rPr>
                <w:rFonts w:ascii="Arial" w:cs="Arial" w:eastAsia="Arial" w:hAnsi="Arial"/>
                <w:sz w:val="18"/>
                <w:szCs w:val="18"/>
                <w:b w:val="1"/>
                <w:bCs w:val="1"/>
                <w:color w:val="auto"/>
              </w:rPr>
              <w:t>178</w:t>
            </w:r>
          </w:p>
        </w:tc>
        <w:tc>
          <w:tcPr>
            <w:tcW w:w="960" w:type="dxa"/>
            <w:vAlign w:val="bottom"/>
            <w:shd w:val="clear" w:color="auto" w:fill="CFF0FC"/>
          </w:tcPr>
          <w:p>
            <w:pPr>
              <w:jc w:val="right"/>
              <w:ind w:right="102"/>
              <w:spacing w:after="0"/>
              <w:rPr>
                <w:sz w:val="20"/>
                <w:szCs w:val="20"/>
                <w:color w:val="auto"/>
              </w:rPr>
            </w:pPr>
            <w:r>
              <w:rPr>
                <w:rFonts w:ascii="Arial" w:cs="Arial" w:eastAsia="Arial" w:hAnsi="Arial"/>
                <w:sz w:val="16"/>
                <w:szCs w:val="16"/>
                <w:i w:val="1"/>
                <w:iCs w:val="1"/>
                <w:color w:val="auto"/>
              </w:rPr>
              <w:t>102 %</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14"/>
        </w:trPr>
        <w:tc>
          <w:tcPr>
            <w:tcW w:w="7560" w:type="dxa"/>
            <w:vAlign w:val="bottom"/>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1"/>
                <w:szCs w:val="2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37"/>
              <w:spacing w:after="0"/>
              <w:rPr>
                <w:sz w:val="20"/>
                <w:szCs w:val="20"/>
                <w:color w:val="auto"/>
              </w:rPr>
            </w:pPr>
            <w:r>
              <w:rPr>
                <w:rFonts w:ascii="Arial" w:cs="Arial" w:eastAsia="Arial" w:hAnsi="Arial"/>
                <w:sz w:val="18"/>
                <w:szCs w:val="18"/>
                <w:b w:val="1"/>
                <w:bCs w:val="1"/>
                <w:color w:val="auto"/>
              </w:rPr>
              <w:t>169</w:t>
            </w:r>
          </w:p>
        </w:tc>
        <w:tc>
          <w:tcPr>
            <w:tcW w:w="960" w:type="dxa"/>
            <w:vAlign w:val="bottom"/>
          </w:tcPr>
          <w:p>
            <w:pPr>
              <w:jc w:val="right"/>
              <w:ind w:right="102"/>
              <w:spacing w:after="0"/>
              <w:rPr>
                <w:sz w:val="20"/>
                <w:szCs w:val="20"/>
                <w:color w:val="auto"/>
              </w:rPr>
            </w:pPr>
            <w:r>
              <w:rPr>
                <w:rFonts w:ascii="Arial" w:cs="Arial" w:eastAsia="Arial" w:hAnsi="Arial"/>
                <w:sz w:val="16"/>
                <w:szCs w:val="16"/>
                <w:i w:val="1"/>
                <w:iCs w:val="1"/>
                <w:color w:val="auto"/>
              </w:rPr>
              <w:t>106 %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Non-GAAP measure, see Schedule 5 for information about this measure.</w:t>
      </w:r>
    </w:p>
    <w:p>
      <w:pPr>
        <w:sectPr>
          <w:pgSz w:w="11900" w:h="16838" w:orient="portrait"/>
          <w:cols w:equalWidth="0" w:num="1">
            <w:col w:w="11420"/>
          </w:cols>
          <w:pgMar w:left="240" w:top="576" w:right="239" w:bottom="1440" w:gutter="0" w:footer="0" w:header="0"/>
        </w:sectPr>
      </w:pPr>
    </w:p>
    <w:bookmarkStart w:id="4" w:name="page5"/>
    <w:bookmarkEnd w:id="4"/>
    <w:p>
      <w:pPr>
        <w:ind w:right="60"/>
        <w:spacing w:after="0" w:line="256" w:lineRule="auto"/>
        <w:rPr>
          <w:sz w:val="20"/>
          <w:szCs w:val="20"/>
          <w:color w:val="auto"/>
        </w:rPr>
      </w:pPr>
      <w:r>
        <w:rPr>
          <w:rFonts w:ascii="Arial" w:cs="Arial" w:eastAsia="Arial" w:hAnsi="Arial"/>
          <w:sz w:val="18"/>
          <w:szCs w:val="18"/>
          <w:color w:val="auto"/>
        </w:rPr>
        <w:t>Revenues for the quarter increased $440 million, or 37%, compared to the prior year quarter due to the acquisition of Engility. Excluding acquired revenues, revenues contracted 2.8%, attributable to humanitarian relief materials in the prior year quarter and the effect of acquisition related revenue dis-synergies.</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income as a percentage of revenues of 5.8%, increased from 5.6% in the comparable prior year period, due to the acquisition of Engility, cost synergies related to the acquisition, and improved performance across our portfolio, partially offset by higher costs associated with the acquisition and integration of Engility.</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Net income attributable to common stockholders for the quarter increased $6 million as compared to the same period in the prior year primarily due to increased operating income ($24 million, net of tax), partially offset by higher interest expense and a higher effective tax rate.</w:t>
      </w:r>
    </w:p>
    <w:p>
      <w:pPr>
        <w:spacing w:after="0" w:line="86"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as a percentage of revenues for the quarter increased to 8.3%, compared to 6.5% for the prior year quarter, driven by the acquisition of Engility, cost synergies related to the acquisition, and improved performance across our portfolio including higher net favorable changes in estimates.</w:t>
      </w:r>
    </w:p>
    <w:p>
      <w:pPr>
        <w:spacing w:after="0" w:line="106" w:lineRule="exact"/>
        <w:rPr>
          <w:sz w:val="20"/>
          <w:szCs w:val="20"/>
          <w:color w:val="auto"/>
        </w:rPr>
      </w:pPr>
    </w:p>
    <w:p>
      <w:pPr>
        <w:ind w:right="540"/>
        <w:spacing w:after="0" w:line="233" w:lineRule="auto"/>
        <w:rPr>
          <w:sz w:val="20"/>
          <w:szCs w:val="20"/>
          <w:color w:val="auto"/>
        </w:rPr>
      </w:pPr>
      <w:r>
        <w:rPr>
          <w:rFonts w:ascii="Arial" w:cs="Arial" w:eastAsia="Arial" w:hAnsi="Arial"/>
          <w:sz w:val="18"/>
          <w:szCs w:val="18"/>
          <w:color w:val="auto"/>
        </w:rPr>
        <w:t>Diluted earnings per share was $0.92 for the quarter and adjusted diluted earnings per share</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$1.36. The weighted-average diluted shares outstanding during the quarter was 60 million shares.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Generation and Capital Deployment</w:t>
      </w:r>
    </w:p>
    <w:p>
      <w:pPr>
        <w:spacing w:after="0" w:line="207"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Cash flows provided by operating activities for the first quarter were $178 million, compared to $88 million during the same period in the prior year. The improvement is primarily due to customer collections recouped from the U.S. federal government partial shutdown that occurred in the prior quarter, strong customer collections across several programs, and cash provided from the operating activities of Engility.</w:t>
      </w:r>
    </w:p>
    <w:p>
      <w:pPr>
        <w:spacing w:after="0" w:line="161" w:lineRule="exact"/>
        <w:rPr>
          <w:sz w:val="20"/>
          <w:szCs w:val="20"/>
          <w:color w:val="auto"/>
        </w:rPr>
      </w:pPr>
    </w:p>
    <w:p>
      <w:pPr>
        <w:jc w:val="both"/>
        <w:ind w:right="480"/>
        <w:spacing w:after="0" w:line="291" w:lineRule="auto"/>
        <w:rPr>
          <w:sz w:val="20"/>
          <w:szCs w:val="20"/>
          <w:color w:val="auto"/>
        </w:rPr>
      </w:pPr>
      <w:r>
        <w:rPr>
          <w:rFonts w:ascii="Arial" w:cs="Arial" w:eastAsia="Arial" w:hAnsi="Arial"/>
          <w:sz w:val="17"/>
          <w:szCs w:val="17"/>
          <w:color w:val="auto"/>
        </w:rPr>
        <w:t>During the quarter, SAIC deployed $ 70 million of capital, consisting of $ 44 million in plan share repurchases (591 thousand shares) under SAIC's previously announced share repurchase program, $23 million in cash dividends, and a $3 million mandatory term loan repayment.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Dividend Declared</w:t>
      </w:r>
    </w:p>
    <w:p>
      <w:pPr>
        <w:spacing w:after="0" w:line="38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Subsequent to quarter end, the Company’s Board of Directors declared a cash dividend of $0.37 per share of the Company’s common stock payable on July 26, 2019 to stockholders of record on July 12, 2019. SAIC intends to continue paying dividends on a quarterly basis, although the declaration of any future dividends will be determined by the Board of Directors each quarter and will depend on earnings, financial condition, capital requirements and other factors.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Business Awards</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Contract awards for the quarter were $1.9 billion, including approximately $300 million from single award indefinite-delivery, indefinite-quantity (IDIQ) value. Net bookings for the quarter were approximately $1.4 billion, which reflects a book-to-bill ratio of 0.9. Of the net bookings for the quarter, 70% were for new business. SAIC’s estimated backlog of signed business orders at the end of the quarter was approximately $13.6 billion of which $3.0 billion was funded.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SAIC was awarded the following contracts during the quarter:</w:t>
      </w:r>
    </w:p>
    <w:p>
      <w:pPr>
        <w:spacing w:after="0" w:line="163" w:lineRule="exact"/>
        <w:rPr>
          <w:sz w:val="20"/>
          <w:szCs w:val="20"/>
          <w:color w:val="auto"/>
        </w:rPr>
      </w:pPr>
    </w:p>
    <w:p>
      <w:pPr>
        <w:ind w:left="420" w:right="240"/>
        <w:spacing w:after="0" w:line="262" w:lineRule="auto"/>
        <w:rPr>
          <w:sz w:val="20"/>
          <w:szCs w:val="20"/>
          <w:color w:val="auto"/>
        </w:rPr>
      </w:pPr>
      <w:r>
        <w:rPr>
          <w:rFonts w:ascii="Arial" w:cs="Arial" w:eastAsia="Arial" w:hAnsi="Arial"/>
          <w:sz w:val="18"/>
          <w:szCs w:val="18"/>
          <w:b w:val="1"/>
          <w:bCs w:val="1"/>
          <w:color w:val="auto"/>
        </w:rPr>
        <w:t xml:space="preserve">U.S. Intelligence Community: </w:t>
      </w:r>
      <w:r>
        <w:rPr>
          <w:rFonts w:ascii="Arial" w:cs="Arial" w:eastAsia="Arial" w:hAnsi="Arial"/>
          <w:sz w:val="18"/>
          <w:szCs w:val="18"/>
          <w:color w:val="auto"/>
        </w:rPr>
        <w:t>SAIC was awarded a mix of recompete and new business contracts and task orders valued at</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$300 million, if all options are exercised, by the U.S. national security, space, and intelligence customers. Although these customers and the specific nature of these contracts are classified, they all encompass strategic, end-to-end services that help bolster national security.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 xml:space="preserve">Notable </w:t>
      </w:r>
      <w:r>
        <w:rPr>
          <w:rFonts w:ascii="Arial" w:cs="Arial" w:eastAsia="Arial" w:hAnsi="Arial"/>
          <w:sz w:val="18"/>
          <w:szCs w:val="18"/>
          <w:i w:val="1"/>
          <w:iCs w:val="1"/>
          <w:u w:val="single" w:color="auto"/>
          <w:color w:val="auto"/>
        </w:rPr>
        <w:t>Recompete</w:t>
      </w:r>
      <w:r>
        <w:rPr>
          <w:rFonts w:ascii="Arial" w:cs="Arial" w:eastAsia="Arial" w:hAnsi="Arial"/>
          <w:sz w:val="18"/>
          <w:szCs w:val="18"/>
          <w:u w:val="single" w:color="auto"/>
          <w:color w:val="auto"/>
        </w:rPr>
        <w:t xml:space="preserve"> Awards:</w:t>
      </w:r>
    </w:p>
    <w:p>
      <w:pPr>
        <w:spacing w:after="0" w:line="221" w:lineRule="exact"/>
        <w:rPr>
          <w:sz w:val="20"/>
          <w:szCs w:val="20"/>
          <w:color w:val="auto"/>
        </w:rPr>
      </w:pPr>
    </w:p>
    <w:p>
      <w:pPr>
        <w:ind w:left="420" w:right="120"/>
        <w:spacing w:after="0" w:line="269" w:lineRule="auto"/>
        <w:rPr>
          <w:sz w:val="20"/>
          <w:szCs w:val="20"/>
          <w:color w:val="auto"/>
        </w:rPr>
      </w:pPr>
      <w:r>
        <w:rPr>
          <w:rFonts w:ascii="Arial" w:cs="Arial" w:eastAsia="Arial" w:hAnsi="Arial"/>
          <w:sz w:val="18"/>
          <w:szCs w:val="18"/>
          <w:b w:val="1"/>
          <w:bCs w:val="1"/>
          <w:color w:val="auto"/>
        </w:rPr>
        <w:t xml:space="preserve">NASA: </w:t>
      </w:r>
      <w:r>
        <w:rPr>
          <w:rFonts w:ascii="Arial" w:cs="Arial" w:eastAsia="Arial" w:hAnsi="Arial"/>
          <w:sz w:val="18"/>
          <w:szCs w:val="18"/>
          <w:color w:val="auto"/>
        </w:rPr>
        <w:t>SAIC was awarded NASA's Safety and Mission Assurance Engineering Contract (SMAEC) II worth up to $292 million.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SAIC will continue to provide safety engineering, reliability engineering, quality engineering, quality assurance, and software assurance in support of NASA programs and projects. The contract has a five year period of performance, if all options are exercised.</w:t>
      </w:r>
    </w:p>
    <w:p>
      <w:pPr>
        <w:spacing w:after="0" w:line="168" w:lineRule="exact"/>
        <w:rPr>
          <w:sz w:val="20"/>
          <w:szCs w:val="20"/>
          <w:color w:val="auto"/>
        </w:rPr>
      </w:pPr>
    </w:p>
    <w:p>
      <w:pPr>
        <w:ind w:left="420"/>
        <w:spacing w:after="0" w:line="269" w:lineRule="auto"/>
        <w:rPr>
          <w:sz w:val="20"/>
          <w:szCs w:val="20"/>
          <w:color w:val="auto"/>
        </w:rPr>
      </w:pPr>
      <w:r>
        <w:rPr>
          <w:rFonts w:ascii="Arial" w:cs="Arial" w:eastAsia="Arial" w:hAnsi="Arial"/>
          <w:sz w:val="18"/>
          <w:szCs w:val="18"/>
          <w:b w:val="1"/>
          <w:bCs w:val="1"/>
          <w:color w:val="auto"/>
        </w:rPr>
        <w:t>The U.S. Air Force</w:t>
      </w:r>
      <w:r>
        <w:rPr>
          <w:rFonts w:ascii="Arial" w:cs="Arial" w:eastAsia="Arial" w:hAnsi="Arial"/>
          <w:sz w:val="18"/>
          <w:szCs w:val="18"/>
          <w:color w:val="auto"/>
        </w:rPr>
        <w:t>: SAIC was awarded a $58 million contract by the Air Force Research Laboratory to research laser bioeffects, advance</w:t>
      </w:r>
      <w:r>
        <w:rPr>
          <w:rFonts w:ascii="Arial" w:cs="Arial" w:eastAsia="Arial" w:hAnsi="Arial"/>
          <w:sz w:val="18"/>
          <w:szCs w:val="18"/>
          <w:b w:val="1"/>
          <w:bCs w:val="1"/>
          <w:color w:val="auto"/>
        </w:rPr>
        <w:t xml:space="preserve"> </w:t>
      </w:r>
      <w:r>
        <w:rPr>
          <w:rFonts w:ascii="Arial" w:cs="Arial" w:eastAsia="Arial" w:hAnsi="Arial"/>
          <w:sz w:val="18"/>
          <w:szCs w:val="18"/>
          <w:color w:val="auto"/>
        </w:rPr>
        <w:t>vision science, conduct modeling and simulation, and perform safety engineering. The Optical Radiation Bioeffects and Safety contract enhances airman combat survivability by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Non-GAAP measure, see Schedule 5 for information about this measure.</w:t>
      </w:r>
    </w:p>
    <w:p>
      <w:pPr>
        <w:sectPr>
          <w:pgSz w:w="11900" w:h="16838" w:orient="portrait"/>
          <w:cols w:equalWidth="0" w:num="1">
            <w:col w:w="11400"/>
          </w:cols>
          <w:pgMar w:left="240" w:top="598" w:right="259" w:bottom="1440" w:gutter="0" w:footer="0" w:header="0"/>
        </w:sectPr>
      </w:pPr>
    </w:p>
    <w:bookmarkStart w:id="5" w:name="page6"/>
    <w:bookmarkEnd w:id="5"/>
    <w:p>
      <w:pPr>
        <w:ind w:left="420"/>
        <w:spacing w:after="0"/>
        <w:rPr>
          <w:sz w:val="20"/>
          <w:szCs w:val="20"/>
          <w:color w:val="auto"/>
        </w:rPr>
      </w:pPr>
      <w:r>
        <w:rPr>
          <w:rFonts w:ascii="Arial" w:cs="Arial" w:eastAsia="Arial" w:hAnsi="Arial"/>
          <w:sz w:val="18"/>
          <w:szCs w:val="18"/>
          <w:color w:val="auto"/>
        </w:rPr>
        <w:t>enabling U.S. forces to counter optical hazards and threats. The contract has a 75-month period of performance.</w:t>
      </w:r>
    </w:p>
    <w:p>
      <w:pPr>
        <w:spacing w:after="0" w:line="203" w:lineRule="exact"/>
        <w:rPr>
          <w:sz w:val="20"/>
          <w:szCs w:val="20"/>
          <w:color w:val="auto"/>
        </w:rPr>
      </w:pPr>
    </w:p>
    <w:p>
      <w:pPr>
        <w:ind w:left="420"/>
        <w:spacing w:after="0" w:line="262" w:lineRule="auto"/>
        <w:rPr>
          <w:sz w:val="20"/>
          <w:szCs w:val="20"/>
          <w:color w:val="auto"/>
        </w:rPr>
      </w:pPr>
      <w:r>
        <w:rPr>
          <w:rFonts w:ascii="Arial" w:cs="Arial" w:eastAsia="Arial" w:hAnsi="Arial"/>
          <w:sz w:val="18"/>
          <w:szCs w:val="18"/>
          <w:b w:val="1"/>
          <w:bCs w:val="1"/>
          <w:color w:val="auto"/>
        </w:rPr>
        <w:t>The U.S. Navy</w:t>
      </w:r>
      <w:r>
        <w:rPr>
          <w:rFonts w:ascii="Arial" w:cs="Arial" w:eastAsia="Arial" w:hAnsi="Arial"/>
          <w:sz w:val="18"/>
          <w:szCs w:val="18"/>
          <w:color w:val="auto"/>
        </w:rPr>
        <w:t>: SAIC was awarded a prime position on a $98 million multi-award IDIQ contract to provide support to the Department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Air Traffic Control and Landing Systems, as well as developmental programs such as the Joint Precision Approach and Landing Systems (JPALS). The company will compete for task orders to support the Naval Air Warfare Center Aircraft Division at Patuxent River, Maryland. The contract has a five-year ordering period.</w:t>
      </w:r>
    </w:p>
    <w:p>
      <w:pPr>
        <w:spacing w:after="0" w:line="307"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Notable New Business Awards:</w:t>
      </w:r>
    </w:p>
    <w:p>
      <w:pPr>
        <w:spacing w:after="0" w:line="311" w:lineRule="exact"/>
        <w:rPr>
          <w:sz w:val="20"/>
          <w:szCs w:val="20"/>
          <w:color w:val="auto"/>
        </w:rPr>
      </w:pPr>
    </w:p>
    <w:p>
      <w:pPr>
        <w:ind w:left="420" w:right="140"/>
        <w:spacing w:after="0" w:line="269" w:lineRule="auto"/>
        <w:rPr>
          <w:sz w:val="20"/>
          <w:szCs w:val="20"/>
          <w:color w:val="auto"/>
        </w:rPr>
      </w:pPr>
      <w:r>
        <w:rPr>
          <w:rFonts w:ascii="Arial" w:cs="Arial" w:eastAsia="Arial" w:hAnsi="Arial"/>
          <w:sz w:val="18"/>
          <w:szCs w:val="18"/>
          <w:b w:val="1"/>
          <w:bCs w:val="1"/>
          <w:color w:val="auto"/>
        </w:rPr>
        <w:t xml:space="preserve">The Defense Threat Reduction Agency (DTRA): </w:t>
      </w:r>
      <w:r>
        <w:rPr>
          <w:rFonts w:ascii="Arial" w:cs="Arial" w:eastAsia="Arial" w:hAnsi="Arial"/>
          <w:sz w:val="18"/>
          <w:szCs w:val="18"/>
          <w:color w:val="auto"/>
        </w:rPr>
        <w:t>SAIC was awarded a position on the $535 million DTRA IT Service Design multiple-award IDIQ contract to integrate IT services across DTRA. As one of five awardees, SAIC will compete for task orders over a 10 year period of performance, if all options are exercised.</w:t>
      </w:r>
    </w:p>
    <w:p>
      <w:pPr>
        <w:spacing w:after="0" w:line="168" w:lineRule="exact"/>
        <w:rPr>
          <w:sz w:val="20"/>
          <w:szCs w:val="20"/>
          <w:color w:val="auto"/>
        </w:rPr>
      </w:pPr>
    </w:p>
    <w:p>
      <w:pPr>
        <w:jc w:val="both"/>
        <w:ind w:left="420" w:right="120"/>
        <w:spacing w:after="0" w:line="269" w:lineRule="auto"/>
        <w:rPr>
          <w:sz w:val="20"/>
          <w:szCs w:val="20"/>
          <w:color w:val="auto"/>
        </w:rPr>
      </w:pPr>
      <w:r>
        <w:rPr>
          <w:rFonts w:ascii="Arial" w:cs="Arial" w:eastAsia="Arial" w:hAnsi="Arial"/>
          <w:sz w:val="18"/>
          <w:szCs w:val="18"/>
          <w:b w:val="1"/>
          <w:bCs w:val="1"/>
          <w:color w:val="auto"/>
        </w:rPr>
        <w:t xml:space="preserve">The U.S. Marine Corps: </w:t>
      </w:r>
      <w:r>
        <w:rPr>
          <w:rFonts w:ascii="Arial" w:cs="Arial" w:eastAsia="Arial" w:hAnsi="Arial"/>
          <w:sz w:val="18"/>
          <w:szCs w:val="18"/>
          <w:color w:val="auto"/>
        </w:rPr>
        <w:t>SAIC was awarded a prime position on the Marine Air-Ground Task Force Training Systems Support multiple-award IDIQ contact. The company will compete for task orders to support pre-deployment training programs to Marine Corps operating forces to improve Marine warfighting skills. The contract is valued at $245 million and has a 10-year period of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Information</w:t>
      </w:r>
    </w:p>
    <w:p>
      <w:pPr>
        <w:spacing w:after="0" w:line="3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SAIC management will discuss operations and financial results in an earnings conference call beginning at 8:00 a.m. Eastern time on June 6, 2019. The conference call will be webcast simultaneously to the public through a link on the Investor Relations section of the SAIC website (</w:t>
      </w:r>
      <w:r>
        <w:rPr>
          <w:rFonts w:ascii="Arial" w:cs="Arial" w:eastAsia="Arial" w:hAnsi="Arial"/>
          <w:sz w:val="18"/>
          <w:szCs w:val="18"/>
          <w:u w:val="single" w:color="auto"/>
          <w:color w:val="auto"/>
        </w:rPr>
        <w:t>http://investors.saic.com</w:t>
      </w:r>
      <w:r>
        <w:rPr>
          <w:rFonts w:ascii="Arial" w:cs="Arial" w:eastAsia="Arial" w:hAnsi="Arial"/>
          <w:sz w:val="18"/>
          <w:szCs w:val="18"/>
          <w:color w:val="auto"/>
        </w:rPr>
        <w:t>). We will be providing webcast access only – “dial-in” access is no longer available. Additionally, a supplemental presentation will be available to the public through links to the Investor Relations section of the SAIC website. After the call concludes, an on-demand audio replay of the webcast can be accessed on the Investor Relations website.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SAIC</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SAIC® is a premier technology integrator solving our nation’s most complex modernization and readiness challenges. Our robust portfolio of offerings across the defense, space, civilian, and intelligence markets includes high-end solutions in engineering, IT, and mission solutions. Using our expertise and understanding of existing and emerging technologies, we integrate the best components from our own portfolio and our partner ecosystem to deliver innovative, effective, and efficient solutions.</w:t>
      </w:r>
    </w:p>
    <w:p>
      <w:pPr>
        <w:spacing w:after="0" w:line="20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23,000 strong; driven by mission, united by purpose, and inspired by opportunities. Headquartered in Reston, Virginia, SAIC has pro forma annual revenues of approximately $6.5 billion. For more information, visit saic.com. For ongoing news, please visit our newsroom.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Shane Canestra, +1.703.676.2720, shane.p.canestra@saic.com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Lauren Presti, +1.703.676.8982, lauren.a.presti@saic.com</w:t>
      </w:r>
    </w:p>
    <w:p>
      <w:pPr>
        <w:sectPr>
          <w:pgSz w:w="11900" w:h="16838" w:orient="portrait"/>
          <w:cols w:equalWidth="0" w:num="1">
            <w:col w:w="11280"/>
          </w:cols>
          <w:pgMar w:left="240" w:top="598" w:right="37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i w:val="1"/>
          <w:iCs w:val="1"/>
          <w:u w:val="single" w:color="auto"/>
          <w:color w:val="auto"/>
        </w:rPr>
        <w:t>Forward-Looking Statements</w:t>
      </w:r>
    </w:p>
    <w:p>
      <w:pPr>
        <w:spacing w:after="0" w:line="225"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 xml:space="preserve">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future dividends, share repurchases and other capital deployment plans.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w:t>
      </w:r>
      <w:r>
        <w:rPr>
          <w:rFonts w:ascii="Arial" w:cs="Arial" w:eastAsia="Arial" w:hAnsi="Arial"/>
          <w:sz w:val="16"/>
          <w:szCs w:val="16"/>
          <w:i w:val="1"/>
          <w:iCs w:val="1"/>
          <w:u w:val="single" w:color="auto"/>
          <w:color w:val="auto"/>
        </w:rPr>
        <w:t>www.saic.com</w:t>
      </w:r>
      <w:r>
        <w:rPr>
          <w:rFonts w:ascii="Arial" w:cs="Arial" w:eastAsia="Arial" w:hAnsi="Arial"/>
          <w:sz w:val="16"/>
          <w:szCs w:val="16"/>
          <w:i w:val="1"/>
          <w:iCs w:val="1"/>
          <w:color w:val="auto"/>
        </w:rPr>
        <w:t xml:space="preserve"> or on the SEC’s website at </w:t>
      </w:r>
      <w:r>
        <w:rPr>
          <w:rFonts w:ascii="Arial" w:cs="Arial" w:eastAsia="Arial" w:hAnsi="Arial"/>
          <w:sz w:val="16"/>
          <w:szCs w:val="16"/>
          <w:i w:val="1"/>
          <w:iCs w:val="1"/>
          <w:u w:val="single" w:color="auto"/>
          <w:color w:val="auto"/>
        </w:rPr>
        <w:t>www.sec.gov</w:t>
      </w:r>
      <w:r>
        <w:rPr>
          <w:rFonts w:ascii="Arial" w:cs="Arial" w:eastAsia="Arial" w:hAnsi="Arial"/>
          <w:sz w:val="16"/>
          <w:szCs w:val="16"/>
          <w:i w:val="1"/>
          <w:iCs w:val="1"/>
          <w:color w:val="auto"/>
        </w:rPr>
        <w:t>.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sectPr>
          <w:pgSz w:w="11900" w:h="16838" w:orient="portrait"/>
          <w:cols w:equalWidth="0" w:num="1">
            <w:col w:w="11400"/>
          </w:cols>
          <w:pgMar w:left="240" w:top="79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AND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9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May 3, 2019</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May 4, 2018</w:t>
            </w:r>
          </w:p>
        </w:tc>
      </w:tr>
      <w:tr>
        <w:trPr>
          <w:trHeight w:val="250"/>
        </w:trPr>
        <w:tc>
          <w:tcPr>
            <w:tcW w:w="8900" w:type="dxa"/>
            <w:vAlign w:val="bottom"/>
          </w:tcPr>
          <w:p>
            <w:pPr>
              <w:spacing w:after="0"/>
              <w:rPr>
                <w:sz w:val="21"/>
                <w:szCs w:val="21"/>
                <w:color w:val="auto"/>
              </w:rPr>
            </w:pPr>
          </w:p>
        </w:tc>
        <w:tc>
          <w:tcPr>
            <w:tcW w:w="2520" w:type="dxa"/>
            <w:vAlign w:val="bottom"/>
            <w:gridSpan w:val="4"/>
          </w:tcPr>
          <w:p>
            <w:pPr>
              <w:ind w:left="40"/>
              <w:spacing w:after="0"/>
              <w:rPr>
                <w:sz w:val="20"/>
                <w:szCs w:val="20"/>
                <w:color w:val="auto"/>
              </w:rPr>
            </w:pPr>
            <w:r>
              <w:rPr>
                <w:rFonts w:ascii="Arial" w:cs="Arial" w:eastAsia="Arial" w:hAnsi="Arial"/>
                <w:sz w:val="14"/>
                <w:szCs w:val="14"/>
                <w:color w:val="auto"/>
              </w:rPr>
              <w:t>(in millions, except per share amounts)</w:t>
            </w:r>
          </w:p>
        </w:tc>
      </w:tr>
      <w:tr>
        <w:trPr>
          <w:trHeight w:val="276"/>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1,615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1,175</w:t>
            </w:r>
          </w:p>
        </w:tc>
      </w:tr>
      <w:tr>
        <w:trPr>
          <w:trHeight w:val="263"/>
        </w:trPr>
        <w:tc>
          <w:tcPr>
            <w:tcW w:w="89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1,435</w:t>
            </w:r>
          </w:p>
        </w:tc>
        <w:tc>
          <w:tcPr>
            <w:tcW w:w="26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1,074</w:t>
            </w:r>
          </w:p>
        </w:tc>
      </w:tr>
      <w:tr>
        <w:trPr>
          <w:trHeight w:val="277"/>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77</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35</w:t>
            </w:r>
          </w:p>
        </w:tc>
      </w:tr>
      <w:tr>
        <w:trPr>
          <w:trHeight w:val="264"/>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Acquisition and integration costs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10</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spacing w:after="0"/>
              <w:rPr>
                <w:sz w:val="23"/>
                <w:szCs w:val="23"/>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93</w:t>
            </w: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66</w:t>
            </w:r>
          </w:p>
        </w:tc>
      </w:tr>
      <w:tr>
        <w:trPr>
          <w:trHeight w:val="263"/>
        </w:trPr>
        <w:tc>
          <w:tcPr>
            <w:tcW w:w="8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25</w:t>
            </w:r>
          </w:p>
        </w:tc>
        <w:tc>
          <w:tcPr>
            <w:tcW w:w="26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89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8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70</w:t>
            </w:r>
          </w:p>
        </w:tc>
        <w:tc>
          <w:tcPr>
            <w:tcW w:w="26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0"/>
        </w:trPr>
        <w:tc>
          <w:tcPr>
            <w:tcW w:w="89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8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0"/>
        </w:trPr>
        <w:tc>
          <w:tcPr>
            <w:tcW w:w="89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304"/>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r>
      <w:tr>
        <w:trPr>
          <w:trHeight w:val="230"/>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Weighted-average number of shares outstanding:</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91"/>
        </w:trPr>
        <w:tc>
          <w:tcPr>
            <w:tcW w:w="890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59.3</w:t>
            </w:r>
          </w:p>
        </w:tc>
        <w:tc>
          <w:tcPr>
            <w:tcW w:w="26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42.4</w:t>
            </w:r>
          </w:p>
        </w:tc>
      </w:tr>
      <w:tr>
        <w:trPr>
          <w:trHeight w:val="264"/>
        </w:trPr>
        <w:tc>
          <w:tcPr>
            <w:tcW w:w="8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60.0</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43.4</w:t>
            </w:r>
          </w:p>
        </w:tc>
      </w:tr>
      <w:tr>
        <w:trPr>
          <w:trHeight w:val="257"/>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r>
      <w:tr>
        <w:trPr>
          <w:trHeight w:val="277"/>
        </w:trPr>
        <w:tc>
          <w:tcPr>
            <w:tcW w:w="890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0.93</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1.16</w:t>
            </w:r>
          </w:p>
        </w:tc>
      </w:tr>
      <w:tr>
        <w:trPr>
          <w:trHeight w:val="250"/>
        </w:trPr>
        <w:tc>
          <w:tcPr>
            <w:tcW w:w="8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w:t>
            </w:r>
          </w:p>
        </w:tc>
      </w:tr>
    </w:tbl>
    <w:p>
      <w:pPr>
        <w:sectPr>
          <w:pgSz w:w="11900" w:h="16838" w:orient="portrait"/>
          <w:cols w:equalWidth="0" w:num="1">
            <w:col w:w="11420"/>
          </w:cols>
          <w:pgMar w:left="240" w:top="57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AND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May 3, 2019</w:t>
            </w:r>
          </w:p>
        </w:tc>
        <w:tc>
          <w:tcPr>
            <w:tcW w:w="4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February 1, 2019</w:t>
            </w:r>
          </w:p>
        </w:tc>
      </w:tr>
      <w:tr>
        <w:trPr>
          <w:trHeight w:val="204"/>
        </w:trPr>
        <w:tc>
          <w:tcPr>
            <w:tcW w:w="6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7"/>
                <w:szCs w:val="17"/>
                <w:color w:val="auto"/>
              </w:rPr>
            </w:pPr>
          </w:p>
        </w:tc>
      </w:tr>
      <w:tr>
        <w:trPr>
          <w:trHeight w:val="269"/>
        </w:trPr>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7"/>
        </w:trPr>
        <w:tc>
          <w:tcPr>
            <w:tcW w:w="6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7"/>
        </w:trPr>
        <w:tc>
          <w:tcPr>
            <w:tcW w:w="6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20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151</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237</w:t>
            </w:r>
          </w:p>
        </w:tc>
      </w:tr>
      <w:tr>
        <w:trPr>
          <w:trHeight w:val="263"/>
        </w:trPr>
        <w:tc>
          <w:tcPr>
            <w:tcW w:w="632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1,039</w:t>
            </w:r>
          </w:p>
        </w:tc>
        <w:tc>
          <w:tcPr>
            <w:tcW w:w="4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1,050</w:t>
            </w:r>
          </w:p>
        </w:tc>
      </w:tr>
      <w:tr>
        <w:trPr>
          <w:trHeight w:val="270"/>
        </w:trPr>
        <w:tc>
          <w:tcPr>
            <w:tcW w:w="632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Inventory, prepaid expenses and other current assets</w:t>
            </w:r>
          </w:p>
        </w:tc>
        <w:tc>
          <w:tcPr>
            <w:tcW w:w="220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127</w:t>
            </w:r>
          </w:p>
        </w:tc>
        <w:tc>
          <w:tcPr>
            <w:tcW w:w="4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146</w:t>
            </w:r>
          </w:p>
        </w:tc>
      </w:tr>
      <w:tr>
        <w:trPr>
          <w:trHeight w:val="263"/>
        </w:trPr>
        <w:tc>
          <w:tcPr>
            <w:tcW w:w="63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1,317</w:t>
            </w:r>
          </w:p>
        </w:tc>
        <w:tc>
          <w:tcPr>
            <w:tcW w:w="4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1,433</w:t>
            </w:r>
          </w:p>
        </w:tc>
      </w:tr>
      <w:tr>
        <w:trPr>
          <w:trHeight w:val="277"/>
        </w:trPr>
        <w:tc>
          <w:tcPr>
            <w:tcW w:w="6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Goodwill</w:t>
            </w:r>
          </w:p>
        </w:tc>
        <w:tc>
          <w:tcPr>
            <w:tcW w:w="22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2,120</w:t>
            </w:r>
          </w:p>
        </w:tc>
        <w:tc>
          <w:tcPr>
            <w:tcW w:w="46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2,120</w:t>
            </w:r>
          </w:p>
        </w:tc>
      </w:tr>
      <w:tr>
        <w:trPr>
          <w:trHeight w:val="263"/>
        </w:trPr>
        <w:tc>
          <w:tcPr>
            <w:tcW w:w="63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778</w:t>
            </w:r>
          </w:p>
        </w:tc>
        <w:tc>
          <w:tcPr>
            <w:tcW w:w="4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803</w:t>
            </w:r>
          </w:p>
        </w:tc>
      </w:tr>
      <w:tr>
        <w:trPr>
          <w:trHeight w:val="277"/>
        </w:trPr>
        <w:tc>
          <w:tcPr>
            <w:tcW w:w="6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Property, plant, and equipment, net</w:t>
            </w:r>
          </w:p>
        </w:tc>
        <w:tc>
          <w:tcPr>
            <w:tcW w:w="22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103</w:t>
            </w:r>
          </w:p>
        </w:tc>
        <w:tc>
          <w:tcPr>
            <w:tcW w:w="46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103</w:t>
            </w: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assets</w:t>
            </w:r>
          </w:p>
        </w:tc>
        <w:tc>
          <w:tcPr>
            <w:tcW w:w="2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289</w:t>
            </w: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w:t>
            </w:r>
          </w:p>
        </w:tc>
      </w:tr>
      <w:tr>
        <w:trPr>
          <w:trHeight w:val="264"/>
        </w:trPr>
        <w:tc>
          <w:tcPr>
            <w:tcW w:w="63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Total assets</w:t>
            </w:r>
          </w:p>
        </w:tc>
        <w:tc>
          <w:tcPr>
            <w:tcW w:w="22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4,607</w:t>
            </w:r>
          </w:p>
        </w:tc>
        <w:tc>
          <w:tcPr>
            <w:tcW w:w="4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4,563</w:t>
            </w: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7"/>
        </w:trPr>
        <w:tc>
          <w:tcPr>
            <w:tcW w:w="6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7"/>
        </w:trPr>
        <w:tc>
          <w:tcPr>
            <w:tcW w:w="6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2200" w:type="dxa"/>
            <w:vAlign w:val="bottom"/>
            <w:shd w:val="clear" w:color="auto" w:fill="CFF0FC"/>
          </w:tcPr>
          <w:p>
            <w:pPr>
              <w:jc w:val="right"/>
              <w:ind w:right="21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714</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632</w:t>
            </w:r>
          </w:p>
        </w:tc>
      </w:tr>
      <w:tr>
        <w:trPr>
          <w:trHeight w:val="263"/>
        </w:trPr>
        <w:tc>
          <w:tcPr>
            <w:tcW w:w="6320" w:type="dxa"/>
            <w:vAlign w:val="bottom"/>
          </w:tcPr>
          <w:p>
            <w:pPr>
              <w:ind w:left="280"/>
              <w:spacing w:after="0"/>
              <w:rPr>
                <w:sz w:val="20"/>
                <w:szCs w:val="20"/>
                <w:color w:val="auto"/>
              </w:rPr>
            </w:pPr>
            <w:r>
              <w:rPr>
                <w:rFonts w:ascii="Arial" w:cs="Arial" w:eastAsia="Arial" w:hAnsi="Arial"/>
                <w:sz w:val="18"/>
                <w:szCs w:val="18"/>
                <w:color w:val="auto"/>
              </w:rPr>
              <w:t>Accrued payroll and employee benefits</w:t>
            </w:r>
          </w:p>
        </w:tc>
        <w:tc>
          <w:tcPr>
            <w:tcW w:w="2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259</w:t>
            </w:r>
          </w:p>
        </w:tc>
        <w:tc>
          <w:tcPr>
            <w:tcW w:w="4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0"/>
        </w:trPr>
        <w:tc>
          <w:tcPr>
            <w:tcW w:w="632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Long-term debt, current portion</w:t>
            </w:r>
          </w:p>
        </w:tc>
        <w:tc>
          <w:tcPr>
            <w:tcW w:w="220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37</w:t>
            </w:r>
          </w:p>
        </w:tc>
        <w:tc>
          <w:tcPr>
            <w:tcW w:w="4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24</w:t>
            </w:r>
          </w:p>
        </w:tc>
      </w:tr>
      <w:tr>
        <w:trPr>
          <w:trHeight w:val="263"/>
        </w:trPr>
        <w:tc>
          <w:tcPr>
            <w:tcW w:w="63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1,010</w:t>
            </w:r>
          </w:p>
        </w:tc>
        <w:tc>
          <w:tcPr>
            <w:tcW w:w="4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897</w:t>
            </w:r>
          </w:p>
        </w:tc>
      </w:tr>
      <w:tr>
        <w:trPr>
          <w:trHeight w:val="277"/>
        </w:trPr>
        <w:tc>
          <w:tcPr>
            <w:tcW w:w="6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1,902</w:t>
            </w:r>
          </w:p>
        </w:tc>
        <w:tc>
          <w:tcPr>
            <w:tcW w:w="46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2,065</w:t>
            </w:r>
          </w:p>
        </w:tc>
      </w:tr>
      <w:tr>
        <w:trPr>
          <w:trHeight w:val="263"/>
        </w:trPr>
        <w:tc>
          <w:tcPr>
            <w:tcW w:w="63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200" w:type="dxa"/>
            <w:vAlign w:val="bottom"/>
          </w:tcPr>
          <w:p>
            <w:pPr>
              <w:spacing w:after="0"/>
              <w:rPr>
                <w:sz w:val="22"/>
                <w:szCs w:val="22"/>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222</w:t>
            </w:r>
          </w:p>
        </w:tc>
        <w:tc>
          <w:tcPr>
            <w:tcW w:w="46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7"/>
        </w:trPr>
        <w:tc>
          <w:tcPr>
            <w:tcW w:w="6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common stockholders' equity</w:t>
            </w:r>
          </w:p>
        </w:tc>
        <w:tc>
          <w:tcPr>
            <w:tcW w:w="2200" w:type="dxa"/>
            <w:vAlign w:val="bottom"/>
            <w:shd w:val="clear" w:color="auto" w:fill="CFF0FC"/>
          </w:tcPr>
          <w:p>
            <w:pPr>
              <w:spacing w:after="0"/>
              <w:rPr>
                <w:sz w:val="24"/>
                <w:szCs w:val="24"/>
                <w:color w:val="auto"/>
              </w:rPr>
            </w:pPr>
          </w:p>
        </w:tc>
        <w:tc>
          <w:tcPr>
            <w:tcW w:w="12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1,462</w:t>
            </w:r>
          </w:p>
        </w:tc>
        <w:tc>
          <w:tcPr>
            <w:tcW w:w="46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1,485</w:t>
            </w: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Non-controlling interest</w:t>
            </w:r>
          </w:p>
        </w:tc>
        <w:tc>
          <w:tcPr>
            <w:tcW w:w="2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w:t>
            </w: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w:t>
            </w:r>
          </w:p>
        </w:tc>
      </w:tr>
      <w:tr>
        <w:trPr>
          <w:trHeight w:val="264"/>
        </w:trPr>
        <w:tc>
          <w:tcPr>
            <w:tcW w:w="63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Total stockholders' equity</w:t>
            </w:r>
          </w:p>
        </w:tc>
        <w:tc>
          <w:tcPr>
            <w:tcW w:w="22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1,473</w:t>
            </w:r>
          </w:p>
        </w:tc>
        <w:tc>
          <w:tcPr>
            <w:tcW w:w="46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1,499</w:t>
            </w: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4,607</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4,563</w:t>
            </w: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SCIENCE APPLICATIONS INTERNATIONAL CORPORATION CONDENSED AND CONSOLIDATED STATEMENTS OF CASH FLOWS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May 3, 2019</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May 4, 2018</w:t>
            </w:r>
          </w:p>
        </w:tc>
      </w:tr>
      <w:tr>
        <w:trPr>
          <w:trHeight w:val="244"/>
        </w:trPr>
        <w:tc>
          <w:tcPr>
            <w:tcW w:w="8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3"/>
          </w:tcPr>
          <w:p>
            <w:pPr>
              <w:jc w:val="right"/>
              <w:ind w:right="791"/>
              <w:spacing w:after="0"/>
              <w:rPr>
                <w:sz w:val="20"/>
                <w:szCs w:val="20"/>
                <w:color w:val="auto"/>
              </w:rPr>
            </w:pPr>
            <w:r>
              <w:rPr>
                <w:rFonts w:ascii="Arial" w:cs="Arial" w:eastAsia="Arial" w:hAnsi="Arial"/>
                <w:sz w:val="14"/>
                <w:szCs w:val="14"/>
                <w:color w:val="auto"/>
              </w:rPr>
              <w:t>(in millions)</w:t>
            </w:r>
          </w:p>
        </w:tc>
      </w:tr>
      <w:tr>
        <w:trPr>
          <w:trHeight w:val="275"/>
        </w:trPr>
        <w:tc>
          <w:tcPr>
            <w:tcW w:w="89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7"/>
        </w:trPr>
        <w:tc>
          <w:tcPr>
            <w:tcW w:w="8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56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49</w:t>
            </w:r>
          </w:p>
        </w:tc>
      </w:tr>
      <w:tr>
        <w:trPr>
          <w:trHeight w:val="257"/>
        </w:trPr>
        <w:tc>
          <w:tcPr>
            <w:tcW w:w="8900" w:type="dxa"/>
            <w:vAlign w:val="bottom"/>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9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4"/>
                <w:szCs w:val="24"/>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36</w:t>
            </w:r>
          </w:p>
        </w:tc>
        <w:tc>
          <w:tcPr>
            <w:tcW w:w="26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7"/>
        </w:trPr>
        <w:tc>
          <w:tcPr>
            <w:tcW w:w="8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9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63"/>
        </w:trPr>
        <w:tc>
          <w:tcPr>
            <w:tcW w:w="8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Increase (decrease) resulting from changes in operating assets and liabilities:</w:t>
            </w: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r>
      <w:tr>
        <w:trPr>
          <w:trHeight w:val="284"/>
        </w:trPr>
        <w:tc>
          <w:tcPr>
            <w:tcW w:w="8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w:t>
            </w:r>
          </w:p>
        </w:tc>
      </w:tr>
      <w:tr>
        <w:trPr>
          <w:trHeight w:val="263"/>
        </w:trPr>
        <w:tc>
          <w:tcPr>
            <w:tcW w:w="8900" w:type="dxa"/>
            <w:vAlign w:val="bottom"/>
          </w:tcPr>
          <w:p>
            <w:pPr>
              <w:ind w:left="500"/>
              <w:spacing w:after="0"/>
              <w:rPr>
                <w:sz w:val="20"/>
                <w:szCs w:val="20"/>
                <w:color w:val="auto"/>
              </w:rPr>
            </w:pPr>
            <w:r>
              <w:rPr>
                <w:rFonts w:ascii="Arial" w:cs="Arial" w:eastAsia="Arial" w:hAnsi="Arial"/>
                <w:sz w:val="18"/>
                <w:szCs w:val="18"/>
                <w:color w:val="auto"/>
              </w:rPr>
              <w:t>Inventory, prepaid expenses and other current assets</w:t>
            </w:r>
          </w:p>
        </w:tc>
        <w:tc>
          <w:tcPr>
            <w:tcW w:w="24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7"/>
        </w:trPr>
        <w:tc>
          <w:tcPr>
            <w:tcW w:w="8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890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spacing w:after="0"/>
              <w:rPr>
                <w:sz w:val="22"/>
                <w:szCs w:val="22"/>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20</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7"/>
        </w:trPr>
        <w:tc>
          <w:tcPr>
            <w:tcW w:w="8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payroll and employee benefits</w:t>
            </w: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18</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34</w:t>
            </w:r>
          </w:p>
        </w:tc>
      </w:tr>
      <w:tr>
        <w:trPr>
          <w:trHeight w:val="264"/>
        </w:trPr>
        <w:tc>
          <w:tcPr>
            <w:tcW w:w="89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spacing w:after="0"/>
              <w:rPr>
                <w:sz w:val="23"/>
                <w:szCs w:val="23"/>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178</w:t>
            </w: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88</w:t>
            </w:r>
          </w:p>
        </w:tc>
      </w:tr>
      <w:tr>
        <w:trPr>
          <w:trHeight w:val="257"/>
        </w:trPr>
        <w:tc>
          <w:tcPr>
            <w:tcW w:w="89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900" w:type="dxa"/>
            <w:vAlign w:val="bottom"/>
          </w:tcPr>
          <w:p>
            <w:pPr>
              <w:ind w:left="280"/>
              <w:spacing w:after="0"/>
              <w:rPr>
                <w:sz w:val="20"/>
                <w:szCs w:val="20"/>
                <w:color w:val="auto"/>
              </w:rPr>
            </w:pPr>
            <w:r>
              <w:rPr>
                <w:rFonts w:ascii="Arial" w:cs="Arial" w:eastAsia="Arial" w:hAnsi="Arial"/>
                <w:sz w:val="18"/>
                <w:szCs w:val="18"/>
                <w:color w:val="auto"/>
              </w:rPr>
              <w:t>Expenditures for property, plant, and equipment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90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r>
      <w:tr>
        <w:trPr>
          <w:trHeight w:val="284"/>
        </w:trPr>
        <w:tc>
          <w:tcPr>
            <w:tcW w:w="8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Dividend payments to stockholders</w:t>
            </w: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8900" w:type="dxa"/>
            <w:vAlign w:val="bottom"/>
          </w:tcPr>
          <w:p>
            <w:pPr>
              <w:ind w:left="280"/>
              <w:spacing w:after="0"/>
              <w:rPr>
                <w:sz w:val="20"/>
                <w:szCs w:val="20"/>
                <w:color w:val="auto"/>
              </w:rPr>
            </w:pPr>
            <w:r>
              <w:rPr>
                <w:rFonts w:ascii="Arial" w:cs="Arial" w:eastAsia="Arial" w:hAnsi="Arial"/>
                <w:sz w:val="18"/>
                <w:szCs w:val="18"/>
                <w:color w:val="auto"/>
              </w:rPr>
              <w:t>Principal payments on borrowings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7"/>
        </w:trPr>
        <w:tc>
          <w:tcPr>
            <w:tcW w:w="8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Issuances of stock</w:t>
            </w: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w:t>
            </w:r>
          </w:p>
        </w:tc>
      </w:tr>
      <w:tr>
        <w:trPr>
          <w:trHeight w:val="263"/>
        </w:trPr>
        <w:tc>
          <w:tcPr>
            <w:tcW w:w="8900" w:type="dxa"/>
            <w:vAlign w:val="bottom"/>
          </w:tcPr>
          <w:p>
            <w:pPr>
              <w:ind w:left="280"/>
              <w:spacing w:after="0"/>
              <w:rPr>
                <w:sz w:val="20"/>
                <w:szCs w:val="20"/>
                <w:color w:val="auto"/>
              </w:rPr>
            </w:pPr>
            <w:r>
              <w:rPr>
                <w:rFonts w:ascii="Arial" w:cs="Arial" w:eastAsia="Arial" w:hAnsi="Arial"/>
                <w:sz w:val="18"/>
                <w:szCs w:val="18"/>
                <w:color w:val="auto"/>
              </w:rPr>
              <w:t>Stock repurchased and retired or withheld for taxes on equity awards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7"/>
        </w:trPr>
        <w:tc>
          <w:tcPr>
            <w:tcW w:w="8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8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Distributions to non-controlling interest</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89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(234)</w:t>
            </w:r>
          </w:p>
        </w:tc>
        <w:tc>
          <w:tcPr>
            <w:tcW w:w="26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r>
      <w:tr>
        <w:trPr>
          <w:trHeight w:val="263"/>
        </w:trPr>
        <w:tc>
          <w:tcPr>
            <w:tcW w:w="8900" w:type="dxa"/>
            <w:vAlign w:val="bottom"/>
          </w:tcPr>
          <w:p>
            <w:pPr>
              <w:ind w:left="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26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w:t>
            </w:r>
          </w:p>
        </w:tc>
      </w:tr>
      <w:tr>
        <w:trPr>
          <w:trHeight w:val="270"/>
        </w:trPr>
        <w:tc>
          <w:tcPr>
            <w:tcW w:w="89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246</w:t>
            </w:r>
          </w:p>
        </w:tc>
        <w:tc>
          <w:tcPr>
            <w:tcW w:w="2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152</w:t>
            </w:r>
          </w:p>
        </w:tc>
      </w:tr>
      <w:tr>
        <w:trPr>
          <w:trHeight w:val="264"/>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w:t>
            </w: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3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BACKLOG</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as of the dates presented was: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May 3, 2019</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February 1, 2019</w:t>
            </w:r>
          </w:p>
        </w:tc>
      </w:tr>
      <w:tr>
        <w:trPr>
          <w:trHeight w:val="270"/>
        </w:trPr>
        <w:tc>
          <w:tcPr>
            <w:tcW w:w="8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8320" w:type="dxa"/>
            <w:vAlign w:val="bottom"/>
            <w:shd w:val="clear" w:color="auto" w:fill="CFF0FC"/>
          </w:tcPr>
          <w:p>
            <w:pPr>
              <w:ind w:left="40"/>
              <w:spacing w:after="0"/>
              <w:rPr>
                <w:sz w:val="20"/>
                <w:szCs w:val="20"/>
                <w:color w:val="auto"/>
              </w:rPr>
            </w:pPr>
            <w:r>
              <w:rPr>
                <w:rFonts w:ascii="Arial" w:cs="Arial" w:eastAsia="Arial" w:hAnsi="Arial"/>
                <w:sz w:val="18"/>
                <w:szCs w:val="18"/>
                <w:color w:val="auto"/>
              </w:rPr>
              <w:t>Funded backlog</w:t>
            </w:r>
          </w:p>
        </w:tc>
        <w:tc>
          <w:tcPr>
            <w:tcW w:w="120" w:type="dxa"/>
            <w:vAlign w:val="bottom"/>
            <w:shd w:val="clear" w:color="auto" w:fill="CCEEFF"/>
          </w:tcPr>
          <w:p>
            <w:pPr>
              <w:spacing w:after="0"/>
              <w:rPr>
                <w:sz w:val="23"/>
                <w:szCs w:val="23"/>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2,982</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2,753</w:t>
            </w:r>
          </w:p>
        </w:tc>
      </w:tr>
      <w:tr>
        <w:trPr>
          <w:trHeight w:val="264"/>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Negotiated unfunded backlog</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10,587</w:t>
            </w:r>
          </w:p>
        </w:tc>
        <w:tc>
          <w:tcPr>
            <w:tcW w:w="3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11,048</w:t>
            </w:r>
          </w:p>
        </w:tc>
      </w:tr>
      <w:tr>
        <w:trPr>
          <w:trHeight w:val="264"/>
        </w:trPr>
        <w:tc>
          <w:tcPr>
            <w:tcW w:w="83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Total backlog</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13,569</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13,801</w:t>
            </w:r>
          </w:p>
        </w:tc>
      </w:tr>
      <w:tr>
        <w:trPr>
          <w:trHeight w:val="20"/>
        </w:trPr>
        <w:tc>
          <w:tcPr>
            <w:tcW w:w="8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14"/>
          <w:szCs w:val="14"/>
          <w:i w:val="1"/>
          <w:iCs w:val="1"/>
          <w:color w:val="auto"/>
        </w:rPr>
        <w:t>Backlog represents the estimated amount of future revenues to be recognized under negotiated contracts and task orders as work is performed and excludes contract awards which have been protested by competitors until the protest is resolved in our favor. SAIC segregates backlog into two categories, funded backlog and negotiated unfunded backlog. Funded backlog for contracts with government agencies primarily represents contracts for which funding is appropriated less revenues previously recognized on these contracts, and does not include the unfunded portion of contracts where funding is incrementally appropriated or authorized by the U.S. government and other customers even though the contract may call for performance over a number of years. Funded backlog for contracts with non-government agencies represents the estimated value of contracts which may cover multiple future years under which SAIC is obligated to perform, less revenues previously recognized on these contracts. Negotiated unfunded backlog represents the estimated future revenues to be earned from negotiated contracts for which funding has not been appropriated or authorized, and unexercised priced contract options. Negotiated unfunded backlog does not include any estimate of future potential task orders expected to be awarded under indefinite delivery, indefinite quantity (IDIQ), U.S. General Services Administration (GSA) schedules or other master agreement contract vehicles.</w:t>
      </w:r>
    </w:p>
    <w:p>
      <w:pPr>
        <w:sectPr>
          <w:pgSz w:w="11900" w:h="16838" w:orient="portrait"/>
          <w:cols w:equalWidth="0" w:num="1">
            <w:col w:w="11420"/>
          </w:cols>
          <w:pgMar w:left="240" w:top="7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Schedule 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This schedule describes the non-GAAP financial measures included in this earnings release.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Other companies may define similar measures differently.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EBITDA, Adjusted EBITDA and Adjusted Operating Income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7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May 3, 2019</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May 4, 2018</w:t>
            </w:r>
          </w:p>
        </w:tc>
      </w:tr>
      <w:tr>
        <w:trPr>
          <w:trHeight w:val="210"/>
        </w:trPr>
        <w:tc>
          <w:tcPr>
            <w:tcW w:w="8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3"/>
          </w:tcPr>
          <w:p>
            <w:pPr>
              <w:jc w:val="right"/>
              <w:ind w:right="855"/>
              <w:spacing w:after="0"/>
              <w:rPr>
                <w:sz w:val="20"/>
                <w:szCs w:val="20"/>
                <w:color w:val="auto"/>
              </w:rPr>
            </w:pPr>
            <w:r>
              <w:rPr>
                <w:rFonts w:ascii="Arial" w:cs="Arial" w:eastAsia="Arial" w:hAnsi="Arial"/>
                <w:sz w:val="14"/>
                <w:szCs w:val="14"/>
                <w:color w:val="auto"/>
              </w:rPr>
              <w:t>(in millions)</w:t>
            </w:r>
          </w:p>
        </w:tc>
      </w:tr>
      <w:tr>
        <w:trPr>
          <w:trHeight w:val="276"/>
        </w:trPr>
        <w:tc>
          <w:tcPr>
            <w:tcW w:w="878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ind w:right="136"/>
              <w:spacing w:after="0"/>
              <w:rPr>
                <w:sz w:val="20"/>
                <w:szCs w:val="20"/>
                <w:color w:val="auto"/>
              </w:rPr>
            </w:pPr>
            <w:r>
              <w:rPr>
                <w:rFonts w:ascii="Arial" w:cs="Arial" w:eastAsia="Arial" w:hAnsi="Arial"/>
                <w:sz w:val="18"/>
                <w:szCs w:val="18"/>
                <w:b w:val="1"/>
                <w:bCs w:val="1"/>
                <w:color w:val="auto"/>
              </w:rPr>
              <w:t>55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49</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2"/>
                <w:szCs w:val="22"/>
                <w:color w:val="auto"/>
              </w:rPr>
            </w:pPr>
          </w:p>
        </w:tc>
        <w:tc>
          <w:tcPr>
            <w:tcW w:w="1120" w:type="dxa"/>
            <w:vAlign w:val="bottom"/>
          </w:tcPr>
          <w:p>
            <w:pPr>
              <w:jc w:val="right"/>
              <w:ind w:right="136"/>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22"/>
                <w:szCs w:val="22"/>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12</w:t>
            </w:r>
          </w:p>
        </w:tc>
      </w:tr>
      <w:tr>
        <w:trPr>
          <w:trHeight w:val="277"/>
        </w:trPr>
        <w:tc>
          <w:tcPr>
            <w:tcW w:w="8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76"/>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2"/>
                <w:szCs w:val="22"/>
                <w:color w:val="auto"/>
              </w:rPr>
            </w:pPr>
          </w:p>
        </w:tc>
        <w:tc>
          <w:tcPr>
            <w:tcW w:w="1120" w:type="dxa"/>
            <w:vAlign w:val="bottom"/>
          </w:tcPr>
          <w:p>
            <w:pPr>
              <w:jc w:val="right"/>
              <w:ind w:right="136"/>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22"/>
                <w:szCs w:val="22"/>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6</w:t>
            </w:r>
          </w:p>
        </w:tc>
      </w:tr>
      <w:tr>
        <w:trPr>
          <w:trHeight w:val="270"/>
        </w:trPr>
        <w:tc>
          <w:tcPr>
            <w:tcW w:w="87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b w:val="1"/>
                <w:bCs w:val="1"/>
                <w:color w:val="auto"/>
              </w:rPr>
              <w:t>33</w:t>
            </w:r>
          </w:p>
        </w:tc>
        <w:tc>
          <w:tcPr>
            <w:tcW w:w="240" w:type="dxa"/>
            <w:vAlign w:val="bottom"/>
            <w:tcBorders>
              <w:bottom w:val="single" w:sz="8" w:color="auto"/>
            </w:tcBorders>
            <w:shd w:val="clear" w:color="auto" w:fill="CFF0FC"/>
          </w:tcPr>
          <w:p>
            <w:pPr>
              <w:spacing w:after="0"/>
              <w:rPr>
                <w:sz w:val="23"/>
                <w:szCs w:val="23"/>
                <w:color w:val="auto"/>
              </w:rPr>
            </w:pPr>
          </w:p>
        </w:tc>
        <w:tc>
          <w:tcPr>
            <w:tcW w:w="102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10</w:t>
            </w:r>
          </w:p>
        </w:tc>
      </w:tr>
      <w:tr>
        <w:trPr>
          <w:trHeight w:val="314"/>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EBITDA</w:t>
            </w:r>
            <w:r>
              <w:rPr>
                <w:rFonts w:ascii="Arial" w:cs="Arial" w:eastAsia="Arial" w:hAnsi="Arial"/>
                <w:sz w:val="21"/>
                <w:szCs w:val="21"/>
                <w:b w:val="1"/>
                <w:bCs w:val="1"/>
                <w:color w:val="auto"/>
                <w:vertAlign w:val="superscript"/>
              </w:rPr>
              <w:t>(1)</w:t>
            </w:r>
          </w:p>
        </w:tc>
        <w:tc>
          <w:tcPr>
            <w:tcW w:w="260" w:type="dxa"/>
            <w:vAlign w:val="bottom"/>
          </w:tcPr>
          <w:p>
            <w:pPr>
              <w:spacing w:after="0"/>
              <w:rPr>
                <w:sz w:val="24"/>
                <w:szCs w:val="24"/>
                <w:color w:val="auto"/>
              </w:rPr>
            </w:pPr>
          </w:p>
        </w:tc>
        <w:tc>
          <w:tcPr>
            <w:tcW w:w="1120" w:type="dxa"/>
            <w:vAlign w:val="bottom"/>
          </w:tcPr>
          <w:p>
            <w:pPr>
              <w:jc w:val="right"/>
              <w:ind w:right="136"/>
              <w:spacing w:after="0"/>
              <w:rPr>
                <w:sz w:val="20"/>
                <w:szCs w:val="20"/>
                <w:color w:val="auto"/>
              </w:rPr>
            </w:pPr>
            <w:r>
              <w:rPr>
                <w:rFonts w:ascii="Arial" w:cs="Arial" w:eastAsia="Arial" w:hAnsi="Arial"/>
                <w:sz w:val="18"/>
                <w:szCs w:val="18"/>
                <w:b w:val="1"/>
                <w:bCs w:val="1"/>
                <w:color w:val="auto"/>
              </w:rPr>
              <w:t>126</w:t>
            </w:r>
          </w:p>
        </w:tc>
        <w:tc>
          <w:tcPr>
            <w:tcW w:w="240" w:type="dxa"/>
            <w:vAlign w:val="bottom"/>
          </w:tcPr>
          <w:p>
            <w:pPr>
              <w:spacing w:after="0"/>
              <w:rPr>
                <w:sz w:val="24"/>
                <w:szCs w:val="24"/>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76</w:t>
            </w:r>
          </w:p>
        </w:tc>
      </w:tr>
      <w:tr>
        <w:trPr>
          <w:trHeight w:val="220"/>
        </w:trPr>
        <w:tc>
          <w:tcPr>
            <w:tcW w:w="8780" w:type="dxa"/>
            <w:vAlign w:val="bottom"/>
          </w:tcPr>
          <w:p>
            <w:pPr>
              <w:ind w:left="180"/>
              <w:spacing w:after="0"/>
              <w:rPr>
                <w:sz w:val="20"/>
                <w:szCs w:val="20"/>
                <w:color w:val="auto"/>
              </w:rPr>
            </w:pPr>
            <w:r>
              <w:rPr>
                <w:rFonts w:ascii="Arial" w:cs="Arial" w:eastAsia="Arial" w:hAnsi="Arial"/>
                <w:sz w:val="14"/>
                <w:szCs w:val="14"/>
                <w:i w:val="1"/>
                <w:iCs w:val="1"/>
                <w:color w:val="auto"/>
              </w:rPr>
              <w:t>EBITDA as a percentage of revenues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7.8%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6.5%</w:t>
            </w:r>
          </w:p>
        </w:tc>
      </w:tr>
      <w:tr>
        <w:trPr>
          <w:trHeight w:val="276"/>
        </w:trPr>
        <w:tc>
          <w:tcPr>
            <w:tcW w:w="8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Acquisition and integration costs</w:t>
            </w:r>
          </w:p>
        </w:tc>
        <w:tc>
          <w:tcPr>
            <w:tcW w:w="26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36"/>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Recovery of acquisition and integration costs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r>
      <w:tr>
        <w:trPr>
          <w:trHeight w:val="270"/>
        </w:trPr>
        <w:tc>
          <w:tcPr>
            <w:tcW w:w="878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1"/>
                <w:szCs w:val="21"/>
                <w:b w:val="1"/>
                <w:bCs w:val="1"/>
                <w:color w:val="auto"/>
                <w:vertAlign w:val="superscript"/>
              </w:rPr>
              <w:t>(1)</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ind w:right="136"/>
              <w:spacing w:after="0"/>
              <w:rPr>
                <w:sz w:val="20"/>
                <w:szCs w:val="20"/>
                <w:color w:val="auto"/>
              </w:rPr>
            </w:pPr>
            <w:r>
              <w:rPr>
                <w:rFonts w:ascii="Arial" w:cs="Arial" w:eastAsia="Arial" w:hAnsi="Arial"/>
                <w:sz w:val="18"/>
                <w:szCs w:val="18"/>
                <w:b w:val="1"/>
                <w:bCs w:val="1"/>
                <w:color w:val="auto"/>
              </w:rPr>
              <w:t>134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76</w:t>
            </w:r>
          </w:p>
        </w:tc>
      </w:tr>
      <w:tr>
        <w:trPr>
          <w:trHeight w:val="264"/>
        </w:trPr>
        <w:tc>
          <w:tcPr>
            <w:tcW w:w="87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4"/>
                <w:szCs w:val="14"/>
                <w:i w:val="1"/>
                <w:iCs w:val="1"/>
                <w:color w:val="auto"/>
              </w:rPr>
              <w:t>Adjusted EBITDA as a percentage of revenues</w:t>
            </w: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i w:val="1"/>
                <w:iCs w:val="1"/>
                <w:color w:val="auto"/>
              </w:rPr>
              <w:t>8.3%</w:t>
            </w: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6.5%</w:t>
            </w:r>
          </w:p>
        </w:tc>
      </w:tr>
      <w:tr>
        <w:trPr>
          <w:trHeight w:val="135"/>
        </w:trPr>
        <w:tc>
          <w:tcPr>
            <w:tcW w:w="87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250"/>
        </w:trPr>
        <w:tc>
          <w:tcPr>
            <w:tcW w:w="87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6"/>
              <w:spacing w:after="0"/>
              <w:rPr>
                <w:sz w:val="20"/>
                <w:szCs w:val="20"/>
                <w:color w:val="auto"/>
              </w:rPr>
            </w:pPr>
            <w:r>
              <w:rPr>
                <w:rFonts w:ascii="Arial" w:cs="Arial" w:eastAsia="Arial" w:hAnsi="Arial"/>
                <w:sz w:val="18"/>
                <w:szCs w:val="18"/>
                <w:b w:val="1"/>
                <w:bCs w:val="1"/>
                <w:color w:val="auto"/>
              </w:rPr>
              <w:t>93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66</w:t>
            </w:r>
          </w:p>
        </w:tc>
      </w:tr>
      <w:tr>
        <w:trPr>
          <w:trHeight w:val="278"/>
        </w:trPr>
        <w:tc>
          <w:tcPr>
            <w:tcW w:w="8780" w:type="dxa"/>
            <w:vAlign w:val="bottom"/>
          </w:tcPr>
          <w:p>
            <w:pPr>
              <w:ind w:left="180"/>
              <w:spacing w:after="0"/>
              <w:rPr>
                <w:sz w:val="20"/>
                <w:szCs w:val="20"/>
                <w:color w:val="auto"/>
              </w:rPr>
            </w:pPr>
            <w:r>
              <w:rPr>
                <w:rFonts w:ascii="Arial" w:cs="Arial" w:eastAsia="Arial" w:hAnsi="Arial"/>
                <w:sz w:val="14"/>
                <w:szCs w:val="14"/>
                <w:i w:val="1"/>
                <w:iCs w:val="1"/>
                <w:color w:val="auto"/>
              </w:rPr>
              <w:t>Operating income as a percentage of revenues</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5.8%</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i w:val="1"/>
                <w:iCs w:val="1"/>
                <w:color w:val="auto"/>
              </w:rPr>
              <w:t>5.6%</w:t>
            </w:r>
          </w:p>
        </w:tc>
      </w:tr>
      <w:tr>
        <w:trPr>
          <w:trHeight w:val="276"/>
        </w:trPr>
        <w:tc>
          <w:tcPr>
            <w:tcW w:w="8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Acquisition and integration costs</w:t>
            </w:r>
          </w:p>
        </w:tc>
        <w:tc>
          <w:tcPr>
            <w:tcW w:w="26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136"/>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Recovery of acquisition and integration costs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r>
      <w:tr>
        <w:trPr>
          <w:trHeight w:val="270"/>
        </w:trPr>
        <w:tc>
          <w:tcPr>
            <w:tcW w:w="878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Adjusted operating income</w:t>
            </w:r>
            <w:r>
              <w:rPr>
                <w:rFonts w:ascii="Arial" w:cs="Arial" w:eastAsia="Arial" w:hAnsi="Arial"/>
                <w:sz w:val="21"/>
                <w:szCs w:val="21"/>
                <w:b w:val="1"/>
                <w:bCs w:val="1"/>
                <w:color w:val="auto"/>
                <w:vertAlign w:val="superscript"/>
              </w:rPr>
              <w:t>(1)</w:t>
            </w:r>
          </w:p>
        </w:tc>
        <w:tc>
          <w:tcPr>
            <w:tcW w:w="26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ind w:right="136"/>
              <w:spacing w:after="0"/>
              <w:rPr>
                <w:sz w:val="20"/>
                <w:szCs w:val="20"/>
                <w:color w:val="auto"/>
              </w:rPr>
            </w:pPr>
            <w:r>
              <w:rPr>
                <w:rFonts w:ascii="Arial" w:cs="Arial" w:eastAsia="Arial" w:hAnsi="Arial"/>
                <w:sz w:val="18"/>
                <w:szCs w:val="18"/>
                <w:b w:val="1"/>
                <w:bCs w:val="1"/>
                <w:color w:val="auto"/>
              </w:rPr>
              <w:t>101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66</w:t>
            </w:r>
          </w:p>
        </w:tc>
      </w:tr>
      <w:tr>
        <w:trPr>
          <w:trHeight w:val="264"/>
        </w:trPr>
        <w:tc>
          <w:tcPr>
            <w:tcW w:w="8780" w:type="dxa"/>
            <w:vAlign w:val="bottom"/>
            <w:tcBorders>
              <w:bottom w:val="single" w:sz="8" w:color="auto"/>
            </w:tcBorders>
            <w:shd w:val="clear" w:color="auto" w:fill="CFF0FC"/>
          </w:tcPr>
          <w:p>
            <w:pPr>
              <w:ind w:left="180"/>
              <w:spacing w:after="0"/>
              <w:rPr>
                <w:sz w:val="20"/>
                <w:szCs w:val="20"/>
                <w:color w:val="auto"/>
              </w:rPr>
            </w:pPr>
            <w:r>
              <w:rPr>
                <w:rFonts w:ascii="Arial" w:cs="Arial" w:eastAsia="Arial" w:hAnsi="Arial"/>
                <w:sz w:val="14"/>
                <w:szCs w:val="14"/>
                <w:i w:val="1"/>
                <w:iCs w:val="1"/>
                <w:color w:val="auto"/>
              </w:rPr>
              <w:t>Adjusted operating income as a percentage of revenues</w:t>
            </w: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i w:val="1"/>
                <w:iCs w:val="1"/>
                <w:color w:val="auto"/>
              </w:rPr>
              <w:t>6.3%</w:t>
            </w: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i w:val="1"/>
                <w:iCs w:val="1"/>
                <w:color w:val="auto"/>
              </w:rPr>
              <w:t>5.6%</w:t>
            </w:r>
          </w:p>
        </w:tc>
      </w:tr>
    </w:tbl>
    <w:p>
      <w:pPr>
        <w:spacing w:after="0" w:line="153"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i w:val="1"/>
          <w:iCs w:val="1"/>
          <w:color w:val="auto"/>
        </w:rPr>
        <w:t>EBITDA is a performance measure that is calculated by taking net income attributable to common stockholders and excluding interest, provision for income taxes, and depreciation and amortization. Adjusted EBITDA and adjusted operating income are performance measures that exclude acquisition and integration costs that we do not consider to be indicative of our ongoing operating performance. The acquisition and integration costs relate to the Company's significant acquisition of Engility. The recovery of acquisition and integration costs relate to acquisition and integration costs recovered through the Company's indirect rates in accordance with Cost Accounting Standards. We believe that these performance measures provide management and investors with useful information in assessing trends in our ongoing operating performance and may provide greater visibility in understanding the long-term financial performance of the Company.</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420"/>
          </w:cols>
          <w:pgMar w:left="240" w:top="57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Schedule 5 (continued):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Diluted Earnings Per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May 3, 2019</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May 4, 2018</w:t>
            </w:r>
          </w:p>
        </w:tc>
      </w:tr>
      <w:tr>
        <w:trPr>
          <w:trHeight w:val="270"/>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0.92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1.13</w:t>
            </w:r>
          </w:p>
        </w:tc>
      </w:tr>
      <w:tr>
        <w:trPr>
          <w:trHeight w:val="493"/>
        </w:trPr>
        <w:tc>
          <w:tcPr>
            <w:tcW w:w="8900" w:type="dxa"/>
            <w:vAlign w:val="bottom"/>
          </w:tcPr>
          <w:p>
            <w:pPr>
              <w:ind w:left="40"/>
              <w:spacing w:after="0"/>
              <w:rPr>
                <w:sz w:val="20"/>
                <w:szCs w:val="20"/>
                <w:color w:val="auto"/>
              </w:rPr>
            </w:pPr>
            <w:r>
              <w:rPr>
                <w:rFonts w:ascii="Arial" w:cs="Arial" w:eastAsia="Arial" w:hAnsi="Arial"/>
                <w:sz w:val="18"/>
                <w:szCs w:val="18"/>
                <w:color w:val="auto"/>
              </w:rPr>
              <w:t>Acquisition and integration costs, divided by diluted 'weighted-average number of shares outstanding' (WASO)</w:t>
            </w:r>
          </w:p>
        </w:tc>
        <w:tc>
          <w:tcPr>
            <w:tcW w:w="240" w:type="dxa"/>
            <w:vAlign w:val="bottom"/>
          </w:tcPr>
          <w:p>
            <w:pPr>
              <w:spacing w:after="0"/>
              <w:rPr>
                <w:sz w:val="24"/>
                <w:szCs w:val="24"/>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0.13</w:t>
            </w:r>
          </w:p>
        </w:tc>
        <w:tc>
          <w:tcPr>
            <w:tcW w:w="2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89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Tax effect of acquisition and integration costs, divided by diluted WASO</w:t>
            </w:r>
          </w:p>
        </w:tc>
        <w:tc>
          <w:tcPr>
            <w:tcW w:w="240" w:type="dxa"/>
            <w:vAlign w:val="bottom"/>
            <w:tcBorders>
              <w:bottom w:val="single" w:sz="8" w:color="auto"/>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(0.03)</w:t>
            </w:r>
          </w:p>
        </w:tc>
        <w:tc>
          <w:tcPr>
            <w:tcW w:w="2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8900" w:type="dxa"/>
            <w:vAlign w:val="bottom"/>
          </w:tcPr>
          <w:p>
            <w:pPr>
              <w:ind w:left="40"/>
              <w:spacing w:after="0"/>
              <w:rPr>
                <w:sz w:val="20"/>
                <w:szCs w:val="20"/>
                <w:color w:val="auto"/>
              </w:rPr>
            </w:pPr>
            <w:r>
              <w:rPr>
                <w:rFonts w:ascii="Arial" w:cs="Arial" w:eastAsia="Arial" w:hAnsi="Arial"/>
                <w:sz w:val="18"/>
                <w:szCs w:val="18"/>
                <w:color w:val="auto"/>
              </w:rPr>
              <w:t>Net effect of acquisition and integration costs, divided by diluted WASO</w:t>
            </w:r>
          </w:p>
        </w:tc>
        <w:tc>
          <w:tcPr>
            <w:tcW w:w="240" w:type="dxa"/>
            <w:vAlign w:val="bottom"/>
          </w:tcPr>
          <w:p>
            <w:pPr>
              <w:spacing w:after="0"/>
              <w:rPr>
                <w:sz w:val="22"/>
                <w:szCs w:val="22"/>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b w:val="1"/>
                <w:bCs w:val="1"/>
                <w:color w:val="auto"/>
              </w:rPr>
              <w:t>0.10</w:t>
            </w:r>
          </w:p>
        </w:tc>
        <w:tc>
          <w:tcPr>
            <w:tcW w:w="26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Amortization of intangible assets, divided by diluted WASO</w:t>
            </w:r>
          </w:p>
        </w:tc>
        <w:tc>
          <w:tcPr>
            <w:tcW w:w="240" w:type="dxa"/>
            <w:vAlign w:val="bottom"/>
            <w:shd w:val="clear" w:color="auto" w:fill="CFF0FC"/>
          </w:tcPr>
          <w:p>
            <w:pPr>
              <w:spacing w:after="0"/>
              <w:rPr>
                <w:sz w:val="23"/>
                <w:szCs w:val="23"/>
                <w:color w:val="auto"/>
              </w:rPr>
            </w:pPr>
          </w:p>
        </w:tc>
        <w:tc>
          <w:tcPr>
            <w:tcW w:w="10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0.42</w:t>
            </w: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0.12</w:t>
            </w:r>
          </w:p>
        </w:tc>
      </w:tr>
      <w:tr>
        <w:trPr>
          <w:trHeight w:val="264"/>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Tax effect of amortization of intangible assets, divided by diluted WASO</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70"/>
        </w:trPr>
        <w:tc>
          <w:tcPr>
            <w:tcW w:w="8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effect of amortization of intangible assets, divided by diluted WASO</w:t>
            </w:r>
          </w:p>
        </w:tc>
        <w:tc>
          <w:tcPr>
            <w:tcW w:w="240" w:type="dxa"/>
            <w:vAlign w:val="bottom"/>
            <w:shd w:val="clear" w:color="auto" w:fill="CFF0FC"/>
          </w:tcPr>
          <w:p>
            <w:pPr>
              <w:spacing w:after="0"/>
              <w:rPr>
                <w:sz w:val="23"/>
                <w:szCs w:val="23"/>
                <w:color w:val="auto"/>
              </w:rPr>
            </w:pPr>
          </w:p>
        </w:tc>
        <w:tc>
          <w:tcPr>
            <w:tcW w:w="106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0.34</w:t>
            </w:r>
          </w:p>
        </w:tc>
        <w:tc>
          <w:tcPr>
            <w:tcW w:w="260" w:type="dxa"/>
            <w:vAlign w:val="bottom"/>
            <w:shd w:val="clear" w:color="auto" w:fill="CFF0FC"/>
          </w:tcPr>
          <w:p>
            <w:pPr>
              <w:spacing w:after="0"/>
              <w:rPr>
                <w:sz w:val="23"/>
                <w:szCs w:val="23"/>
                <w:color w:val="auto"/>
              </w:rPr>
            </w:pP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0.10</w:t>
            </w:r>
          </w:p>
        </w:tc>
      </w:tr>
      <w:tr>
        <w:trPr>
          <w:trHeight w:val="230"/>
        </w:trPr>
        <w:tc>
          <w:tcPr>
            <w:tcW w:w="8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64"/>
        </w:trPr>
        <w:tc>
          <w:tcPr>
            <w:tcW w:w="8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Adjusted diluted earnings per share</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i w:val="1"/>
          <w:iCs w:val="1"/>
          <w:color w:val="auto"/>
        </w:rPr>
        <w:t>Adjusted diluted earnings per share is a performance measure that excludes acquisition and integration costs that we do not consider to be indicative of our ongoing operating performance. The acquisition and integration costs relate to the Company's recent acquisition of Engility and is net of the recovery of acquisition and integration costs recovered through the Company's indirect rates in accordance with Cost Accounting Standards. Adjusted diluted earnings per share also excludes amortization of intangible assets because we do not have a history of significant acquisition activity, we do not acquire businesses on a predictable cycle, and the amount of an acquisition's purchase price allocated to intangible assets and the related amortization term are unique to each acquisition. We believe that this performance measure provides management and investors with useful information in assessing trends in our ongoing operating performance and may provide greater visibility in understanding the long-term financial performance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Non-GAAP measure, see above for definition.</w:t>
      </w:r>
    </w:p>
    <w:p>
      <w:pPr>
        <w:sectPr>
          <w:pgSz w:w="11900" w:h="16838" w:orient="portrait"/>
          <w:cols w:equalWidth="0" w:num="1">
            <w:col w:w="11420"/>
          </w:cols>
          <w:pgMar w:left="240" w:top="75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Schedule 5 (continued):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SCIENCE APPLICATIONS INTERNATIONAL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7"/>
                <w:szCs w:val="17"/>
                <w:color w:val="auto"/>
              </w:rPr>
            </w:pPr>
          </w:p>
        </w:tc>
      </w:tr>
      <w:tr>
        <w:trPr>
          <w:trHeight w:val="175"/>
        </w:trPr>
        <w:tc>
          <w:tcPr>
            <w:tcW w:w="8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ind w:right="100"/>
              <w:spacing w:after="0"/>
              <w:rPr>
                <w:sz w:val="20"/>
                <w:szCs w:val="20"/>
                <w:color w:val="auto"/>
              </w:rPr>
            </w:pPr>
            <w:r>
              <w:rPr>
                <w:rFonts w:ascii="Arial" w:cs="Arial" w:eastAsia="Arial" w:hAnsi="Arial"/>
                <w:sz w:val="14"/>
                <w:szCs w:val="14"/>
                <w:b w:val="1"/>
                <w:bCs w:val="1"/>
                <w:color w:val="auto"/>
              </w:rPr>
              <w:t>May 3,</w:t>
            </w:r>
          </w:p>
        </w:tc>
        <w:tc>
          <w:tcPr>
            <w:tcW w:w="760" w:type="dxa"/>
            <w:vAlign w:val="bottom"/>
          </w:tcPr>
          <w:p>
            <w:pPr>
              <w:spacing w:after="0"/>
              <w:rPr>
                <w:sz w:val="15"/>
                <w:szCs w:val="15"/>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color w:val="auto"/>
                <w:w w:val="99"/>
              </w:rPr>
              <w:t>May 4,</w:t>
            </w:r>
          </w:p>
        </w:tc>
      </w:tr>
      <w:tr>
        <w:trPr>
          <w:trHeight w:val="196"/>
        </w:trPr>
        <w:tc>
          <w:tcPr>
            <w:tcW w:w="8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2018</w:t>
            </w:r>
          </w:p>
        </w:tc>
      </w:tr>
      <w:tr>
        <w:trPr>
          <w:trHeight w:val="210"/>
        </w:trPr>
        <w:tc>
          <w:tcPr>
            <w:tcW w:w="8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2"/>
          </w:tcPr>
          <w:p>
            <w:pPr>
              <w:jc w:val="right"/>
              <w:ind w:right="270"/>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8"/>
                <w:szCs w:val="18"/>
                <w:color w:val="auto"/>
              </w:rPr>
            </w:pPr>
          </w:p>
        </w:tc>
      </w:tr>
      <w:tr>
        <w:trPr>
          <w:trHeight w:val="276"/>
        </w:trPr>
        <w:tc>
          <w:tcPr>
            <w:tcW w:w="878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178</w:t>
            </w:r>
          </w:p>
        </w:tc>
        <w:tc>
          <w:tcPr>
            <w:tcW w:w="7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88</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7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7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169</w:t>
            </w:r>
          </w:p>
        </w:tc>
        <w:tc>
          <w:tcPr>
            <w:tcW w:w="7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82</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80"/>
        <w:spacing w:after="0" w:line="260" w:lineRule="auto"/>
        <w:rPr>
          <w:sz w:val="20"/>
          <w:szCs w:val="20"/>
          <w:color w:val="auto"/>
        </w:rPr>
      </w:pPr>
      <w:r>
        <w:rPr>
          <w:rFonts w:ascii="Arial" w:cs="Arial" w:eastAsia="Arial" w:hAnsi="Arial"/>
          <w:sz w:val="14"/>
          <w:szCs w:val="14"/>
          <w:i w:val="1"/>
          <w:iCs w:val="1"/>
          <w:color w:val="auto"/>
        </w:rPr>
        <w:t>Free cash flow is calculated by taking cash flows provided by operating activities less expenditures for property, plant, and equipment. We believe that free cash flow provides management and investors with useful information in assessing trends in our cash flows and in comparing them to other peer companies, many of whom present a similar non-GAAP liquidity measure. This measure should not be considered as a measure of residual cash flow available for discretionary purposes.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vertAlign w:val="superscript"/>
        </w:rPr>
        <w:t>(1)</w:t>
      </w:r>
      <w:r>
        <w:rPr>
          <w:rFonts w:ascii="Arial" w:cs="Arial" w:eastAsia="Arial" w:hAnsi="Arial"/>
          <w:sz w:val="14"/>
          <w:szCs w:val="14"/>
          <w:i w:val="1"/>
          <w:iCs w:val="1"/>
          <w:color w:val="auto"/>
        </w:rPr>
        <w:t>Non-GAAP measure, see above for definition.</w:t>
      </w:r>
    </w:p>
    <w:sectPr>
      <w:pgSz w:w="11900" w:h="16838" w:orient="portrait"/>
      <w:cols w:equalWidth="0" w:num="1">
        <w:col w:w="11420"/>
      </w:cols>
      <w:pgMar w:left="240" w:top="7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2019-12-01T23:19:52Z</dcterms:created>
  <dcterms:modified xsi:type="dcterms:W3CDTF">2019-12-01T23:19:52Z</dcterms:modified>
</cp:coreProperties>
</file>