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791845</wp:posOffset>
            </wp:positionV>
            <wp:extent cx="6806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757555</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r>
    </w:p>
    <w:p>
      <w:pPr>
        <w:spacing w:after="0" w:line="321" w:lineRule="exact"/>
        <w:rPr>
          <w:sz w:val="24"/>
          <w:szCs w:val="24"/>
          <w:color w:val="auto"/>
        </w:rPr>
      </w:pPr>
    </w:p>
    <w:p>
      <w:pPr>
        <w:jc w:val="center"/>
        <w:ind w:right="-846"/>
        <w:spacing w:after="0"/>
        <w:rPr>
          <w:sz w:val="20"/>
          <w:szCs w:val="20"/>
          <w:color w:val="auto"/>
        </w:rPr>
      </w:pPr>
      <w:r>
        <w:rPr>
          <w:rFonts w:ascii="Arial" w:cs="Arial" w:eastAsia="Arial" w:hAnsi="Arial"/>
          <w:sz w:val="32"/>
          <w:szCs w:val="32"/>
          <w:color w:val="010202"/>
        </w:rPr>
        <w:t>UNITED STATES</w:t>
      </w:r>
    </w:p>
    <w:p>
      <w:pPr>
        <w:spacing w:after="0" w:line="42" w:lineRule="exact"/>
        <w:rPr>
          <w:sz w:val="24"/>
          <w:szCs w:val="24"/>
          <w:color w:val="auto"/>
        </w:rPr>
      </w:pPr>
    </w:p>
    <w:p>
      <w:pPr>
        <w:jc w:val="center"/>
        <w:ind w:right="-846"/>
        <w:spacing w:after="0"/>
        <w:rPr>
          <w:sz w:val="20"/>
          <w:szCs w:val="20"/>
          <w:color w:val="auto"/>
        </w:rPr>
      </w:pPr>
      <w:r>
        <w:rPr>
          <w:rFonts w:ascii="Arial" w:cs="Arial" w:eastAsia="Arial" w:hAnsi="Arial"/>
          <w:sz w:val="32"/>
          <w:szCs w:val="32"/>
          <w:color w:val="010202"/>
        </w:rPr>
        <w:t>SECURITIES AND EXCHANGE COMMISSION</w:t>
      </w:r>
    </w:p>
    <w:p>
      <w:pPr>
        <w:spacing w:after="0" w:line="16" w:lineRule="exact"/>
        <w:rPr>
          <w:sz w:val="24"/>
          <w:szCs w:val="24"/>
          <w:color w:val="auto"/>
        </w:rPr>
      </w:pPr>
    </w:p>
    <w:p>
      <w:pPr>
        <w:ind w:left="4267"/>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329" w:lineRule="exact"/>
        <w:rPr>
          <w:sz w:val="24"/>
          <w:szCs w:val="24"/>
          <w:color w:val="auto"/>
        </w:rPr>
      </w:pPr>
    </w:p>
    <w:p>
      <w:pPr>
        <w:ind w:left="3847"/>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75" w:lineRule="exact"/>
        <w:rPr>
          <w:sz w:val="24"/>
          <w:szCs w:val="24"/>
          <w:color w:val="auto"/>
        </w:rPr>
      </w:pPr>
    </w:p>
    <w:p>
      <w:pPr>
        <w:ind w:left="4647"/>
        <w:spacing w:after="0"/>
        <w:rPr>
          <w:sz w:val="20"/>
          <w:szCs w:val="20"/>
          <w:color w:val="auto"/>
        </w:rPr>
      </w:pPr>
      <w:r>
        <w:rPr>
          <w:rFonts w:ascii="Arial" w:cs="Arial" w:eastAsia="Arial" w:hAnsi="Arial"/>
          <w:sz w:val="32"/>
          <w:szCs w:val="32"/>
          <w:color w:val="auto"/>
        </w:rPr>
        <w:t>Form 11-K</w:t>
      </w:r>
    </w:p>
    <w:p>
      <w:pPr>
        <w:spacing w:after="0" w:line="241" w:lineRule="exact"/>
        <w:rPr>
          <w:sz w:val="24"/>
          <w:szCs w:val="24"/>
          <w:color w:val="auto"/>
        </w:rPr>
      </w:pPr>
    </w:p>
    <w:p>
      <w:pPr>
        <w:ind w:left="3847"/>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200" w:lineRule="exact"/>
        <w:rPr>
          <w:sz w:val="24"/>
          <w:szCs w:val="24"/>
          <w:color w:val="auto"/>
        </w:rPr>
      </w:pPr>
    </w:p>
    <w:p>
      <w:pPr>
        <w:spacing w:after="0" w:line="222" w:lineRule="exact"/>
        <w:rPr>
          <w:sz w:val="24"/>
          <w:szCs w:val="24"/>
          <w:color w:val="auto"/>
        </w:rPr>
      </w:pPr>
    </w:p>
    <w:p>
      <w:pPr>
        <w:ind w:left="1467" w:hanging="1453"/>
        <w:spacing w:after="0"/>
        <w:tabs>
          <w:tab w:leader="none" w:pos="1467" w:val="left"/>
        </w:tabs>
        <w:numPr>
          <w:ilvl w:val="0"/>
          <w:numId w:val="1"/>
        </w:numPr>
        <w:rPr>
          <w:rFonts w:ascii="Wingdings" w:cs="Wingdings" w:eastAsia="Wingdings" w:hAnsi="Wingdings"/>
          <w:sz w:val="22"/>
          <w:szCs w:val="22"/>
          <w:b w:val="1"/>
          <w:bCs w:val="1"/>
          <w:color w:val="auto"/>
        </w:rPr>
      </w:pPr>
      <w:r>
        <w:rPr>
          <w:rFonts w:ascii="Arial" w:cs="Arial" w:eastAsia="Arial" w:hAnsi="Arial"/>
          <w:sz w:val="18"/>
          <w:szCs w:val="18"/>
          <w:b w:val="1"/>
          <w:bCs w:val="1"/>
          <w:color w:val="auto"/>
        </w:rPr>
        <w:t>ANNUAL REPORT PURSUANT TO SECTION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3487"/>
        <w:spacing w:after="0"/>
        <w:rPr>
          <w:sz w:val="20"/>
          <w:szCs w:val="20"/>
          <w:color w:val="auto"/>
        </w:rPr>
      </w:pPr>
      <w:r>
        <w:rPr>
          <w:rFonts w:ascii="Arial" w:cs="Arial" w:eastAsia="Arial" w:hAnsi="Arial"/>
          <w:sz w:val="18"/>
          <w:szCs w:val="18"/>
          <w:b w:val="1"/>
          <w:bCs w:val="1"/>
          <w:color w:val="auto"/>
        </w:rPr>
        <w:t>For the fiscal year ended December 31, 2024</w:t>
      </w:r>
    </w:p>
    <w:p>
      <w:pPr>
        <w:spacing w:after="0" w:line="200" w:lineRule="exact"/>
        <w:rPr>
          <w:sz w:val="24"/>
          <w:szCs w:val="24"/>
          <w:color w:val="auto"/>
        </w:rPr>
      </w:pPr>
    </w:p>
    <w:p>
      <w:pPr>
        <w:spacing w:after="0" w:line="336" w:lineRule="exact"/>
        <w:rPr>
          <w:sz w:val="24"/>
          <w:szCs w:val="24"/>
          <w:color w:val="auto"/>
        </w:rPr>
      </w:pPr>
    </w:p>
    <w:p>
      <w:pPr>
        <w:ind w:left="1287" w:hanging="1287"/>
        <w:spacing w:after="0"/>
        <w:tabs>
          <w:tab w:leader="none" w:pos="1287"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15(d) OF THE SECURITIES EXCHANGE ACT OF 1934</w:t>
      </w:r>
    </w:p>
    <w:p>
      <w:pPr>
        <w:spacing w:after="0" w:line="200" w:lineRule="exact"/>
        <w:rPr>
          <w:sz w:val="24"/>
          <w:szCs w:val="24"/>
          <w:color w:val="auto"/>
        </w:rPr>
      </w:pPr>
    </w:p>
    <w:p>
      <w:pPr>
        <w:spacing w:after="0" w:line="394" w:lineRule="exact"/>
        <w:rPr>
          <w:sz w:val="24"/>
          <w:szCs w:val="24"/>
          <w:color w:val="auto"/>
        </w:rPr>
      </w:pPr>
    </w:p>
    <w:p>
      <w:pPr>
        <w:jc w:val="center"/>
        <w:ind w:right="-846"/>
        <w:spacing w:after="0"/>
        <w:rPr>
          <w:sz w:val="20"/>
          <w:szCs w:val="20"/>
          <w:color w:val="auto"/>
        </w:rPr>
      </w:pPr>
      <w:r>
        <w:rPr>
          <w:rFonts w:ascii="Arial" w:cs="Arial" w:eastAsia="Arial" w:hAnsi="Arial"/>
          <w:sz w:val="18"/>
          <w:szCs w:val="18"/>
          <w:b w:val="1"/>
          <w:bCs w:val="1"/>
          <w:color w:val="010202"/>
        </w:rPr>
        <w:t>For the transition period from to</w:t>
      </w:r>
    </w:p>
    <w:p>
      <w:pPr>
        <w:spacing w:after="0" w:line="185" w:lineRule="exact"/>
        <w:rPr>
          <w:sz w:val="24"/>
          <w:szCs w:val="24"/>
          <w:color w:val="auto"/>
        </w:rPr>
      </w:pPr>
    </w:p>
    <w:p>
      <w:pPr>
        <w:jc w:val="center"/>
        <w:ind w:right="-846"/>
        <w:spacing w:after="0"/>
        <w:rPr>
          <w:sz w:val="20"/>
          <w:szCs w:val="20"/>
          <w:color w:val="auto"/>
        </w:rPr>
      </w:pPr>
      <w:r>
        <w:rPr>
          <w:rFonts w:ascii="Arial" w:cs="Arial" w:eastAsia="Arial" w:hAnsi="Arial"/>
          <w:sz w:val="18"/>
          <w:szCs w:val="18"/>
          <w:b w:val="1"/>
          <w:bCs w:val="1"/>
          <w:color w:val="010202"/>
        </w:rPr>
        <w:t>Commission file number: 001-35832</w:t>
      </w:r>
    </w:p>
    <w:p>
      <w:pPr>
        <w:spacing w:after="0" w:line="26" w:lineRule="exact"/>
        <w:rPr>
          <w:sz w:val="24"/>
          <w:szCs w:val="24"/>
          <w:color w:val="auto"/>
        </w:rPr>
      </w:pPr>
    </w:p>
    <w:p>
      <w:pPr>
        <w:ind w:left="3847"/>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ectPr>
          <w:pgSz w:w="11900" w:h="16838" w:orient="portrait"/>
          <w:cols w:equalWidth="0" w:num="1">
            <w:col w:w="9927"/>
          </w:cols>
          <w:pgMar w:left="553" w:top="1440" w:right="1419" w:bottom="1440" w:gutter="0" w:footer="0" w:header="0"/>
        </w:sectPr>
      </w:pPr>
    </w:p>
    <w:p>
      <w:pPr>
        <w:spacing w:after="0" w:line="200" w:lineRule="exact"/>
        <w:rPr>
          <w:sz w:val="24"/>
          <w:szCs w:val="24"/>
          <w:color w:val="auto"/>
        </w:rPr>
      </w:pPr>
    </w:p>
    <w:p>
      <w:pPr>
        <w:spacing w:after="0" w:line="223" w:lineRule="exact"/>
        <w:rPr>
          <w:sz w:val="24"/>
          <w:szCs w:val="24"/>
          <w:color w:val="auto"/>
        </w:rPr>
      </w:pPr>
    </w:p>
    <w:p>
      <w:pPr>
        <w:ind w:left="67"/>
        <w:spacing w:after="0"/>
        <w:rPr>
          <w:sz w:val="20"/>
          <w:szCs w:val="20"/>
          <w:color w:val="auto"/>
        </w:rPr>
      </w:pPr>
      <w:r>
        <w:rPr>
          <w:rFonts w:ascii="Arial" w:cs="Arial" w:eastAsia="Arial" w:hAnsi="Arial"/>
          <w:sz w:val="18"/>
          <w:szCs w:val="18"/>
          <w:color w:val="010202"/>
        </w:rPr>
        <w:t>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010202"/>
        </w:rPr>
        <w:t>Full title of plan and the address of the plan, if different from that of the issuer named below:</w:t>
      </w:r>
    </w:p>
    <w:p>
      <w:pPr>
        <w:spacing w:after="0" w:line="200" w:lineRule="exact"/>
        <w:rPr>
          <w:sz w:val="24"/>
          <w:szCs w:val="24"/>
          <w:color w:val="auto"/>
        </w:rPr>
      </w:pPr>
    </w:p>
    <w:p>
      <w:pPr>
        <w:sectPr>
          <w:pgSz w:w="11900" w:h="16838" w:orient="portrait"/>
          <w:cols w:equalWidth="0" w:num="2">
            <w:col w:w="1267" w:space="720"/>
            <w:col w:w="7940"/>
          </w:cols>
          <w:pgMar w:left="553" w:top="1440" w:right="1419" w:bottom="1440" w:gutter="0" w:footer="0" w:header="0"/>
          <w:type w:val="continuous"/>
        </w:sectPr>
      </w:pPr>
    </w:p>
    <w:p>
      <w:pPr>
        <w:spacing w:after="0" w:line="200" w:lineRule="exact"/>
        <w:rPr>
          <w:sz w:val="24"/>
          <w:szCs w:val="24"/>
          <w:color w:val="auto"/>
        </w:rPr>
      </w:pPr>
    </w:p>
    <w:p>
      <w:pPr>
        <w:spacing w:after="0" w:line="282" w:lineRule="exact"/>
        <w:rPr>
          <w:sz w:val="24"/>
          <w:szCs w:val="24"/>
          <w:color w:val="auto"/>
        </w:rPr>
      </w:pPr>
    </w:p>
    <w:p>
      <w:pPr>
        <w:ind w:left="1047"/>
        <w:spacing w:after="0"/>
        <w:rPr>
          <w:sz w:val="20"/>
          <w:szCs w:val="20"/>
          <w:color w:val="auto"/>
        </w:rPr>
      </w:pPr>
      <w:r>
        <w:rPr>
          <w:rFonts w:ascii="Arial" w:cs="Arial" w:eastAsia="Arial" w:hAnsi="Arial"/>
          <w:sz w:val="29"/>
          <w:szCs w:val="29"/>
          <w:b w:val="1"/>
          <w:bCs w:val="1"/>
          <w:color w:val="010202"/>
        </w:rPr>
        <w:t>Science Applications International Corporation Retirement Plan</w:t>
      </w:r>
    </w:p>
    <w:p>
      <w:pPr>
        <w:spacing w:after="0" w:line="200" w:lineRule="exact"/>
        <w:rPr>
          <w:sz w:val="24"/>
          <w:szCs w:val="24"/>
          <w:color w:val="auto"/>
        </w:rPr>
      </w:pPr>
    </w:p>
    <w:p>
      <w:pPr>
        <w:spacing w:after="0" w:line="373" w:lineRule="exact"/>
        <w:rPr>
          <w:sz w:val="24"/>
          <w:szCs w:val="24"/>
          <w:color w:val="auto"/>
        </w:rPr>
      </w:pPr>
    </w:p>
    <w:p>
      <w:pPr>
        <w:ind w:left="1447" w:hanging="1374"/>
        <w:spacing w:after="0"/>
        <w:tabs>
          <w:tab w:leader="none" w:pos="1447" w:val="left"/>
        </w:tabs>
        <w:numPr>
          <w:ilvl w:val="0"/>
          <w:numId w:val="3"/>
        </w:numPr>
        <w:rPr>
          <w:rFonts w:ascii="Arial" w:cs="Arial" w:eastAsia="Arial" w:hAnsi="Arial"/>
          <w:sz w:val="17"/>
          <w:szCs w:val="17"/>
          <w:color w:val="010202"/>
        </w:rPr>
      </w:pPr>
      <w:r>
        <w:rPr>
          <w:rFonts w:ascii="Arial" w:cs="Arial" w:eastAsia="Arial" w:hAnsi="Arial"/>
          <w:sz w:val="17"/>
          <w:szCs w:val="17"/>
          <w:color w:val="010202"/>
        </w:rPr>
        <w:t>Name of issuer of the securities held pursuant to the plan and the address of its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866"/>
        <w:spacing w:after="0"/>
        <w:rPr>
          <w:sz w:val="20"/>
          <w:szCs w:val="20"/>
          <w:color w:val="auto"/>
        </w:rPr>
      </w:pPr>
      <w:r>
        <w:rPr>
          <w:rFonts w:ascii="Arial" w:cs="Arial" w:eastAsia="Arial" w:hAnsi="Arial"/>
          <w:sz w:val="22"/>
          <w:szCs w:val="22"/>
          <w:b w:val="1"/>
          <w:bCs w:val="1"/>
          <w:color w:val="010202"/>
        </w:rPr>
        <w:t>Science Applications International Corporation</w:t>
      </w:r>
    </w:p>
    <w:p>
      <w:pPr>
        <w:spacing w:after="0" w:line="26" w:lineRule="exact"/>
        <w:rPr>
          <w:sz w:val="24"/>
          <w:szCs w:val="24"/>
          <w:color w:val="auto"/>
        </w:rPr>
      </w:pPr>
    </w:p>
    <w:p>
      <w:pPr>
        <w:jc w:val="center"/>
        <w:ind w:right="-866"/>
        <w:spacing w:after="0"/>
        <w:rPr>
          <w:sz w:val="20"/>
          <w:szCs w:val="20"/>
          <w:color w:val="auto"/>
        </w:rPr>
      </w:pPr>
      <w:r>
        <w:rPr>
          <w:rFonts w:ascii="Arial" w:cs="Arial" w:eastAsia="Arial" w:hAnsi="Arial"/>
          <w:sz w:val="22"/>
          <w:szCs w:val="22"/>
          <w:b w:val="1"/>
          <w:bCs w:val="1"/>
          <w:color w:val="010202"/>
        </w:rPr>
        <w:t>12010 Sunset Hills Road</w:t>
      </w:r>
    </w:p>
    <w:p>
      <w:pPr>
        <w:spacing w:after="0" w:line="4" w:lineRule="exact"/>
        <w:rPr>
          <w:sz w:val="24"/>
          <w:szCs w:val="24"/>
          <w:color w:val="auto"/>
        </w:rPr>
      </w:pPr>
    </w:p>
    <w:p>
      <w:pPr>
        <w:jc w:val="center"/>
        <w:ind w:right="-866"/>
        <w:spacing w:after="0"/>
        <w:rPr>
          <w:sz w:val="20"/>
          <w:szCs w:val="20"/>
          <w:color w:val="auto"/>
        </w:rPr>
      </w:pPr>
      <w:r>
        <w:rPr>
          <w:rFonts w:ascii="Arial" w:cs="Arial" w:eastAsia="Arial" w:hAnsi="Arial"/>
          <w:sz w:val="22"/>
          <w:szCs w:val="22"/>
          <w:b w:val="1"/>
          <w:bCs w:val="1"/>
          <w:color w:val="010202"/>
        </w:rPr>
        <w:t>Reston, VA 20190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572135</wp:posOffset>
            </wp:positionV>
            <wp:extent cx="68065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537845</wp:posOffset>
            </wp:positionV>
            <wp:extent cx="68065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8890"/>
                    </a:xfrm>
                    <a:prstGeom prst="rect">
                      <a:avLst/>
                    </a:prstGeom>
                    <a:noFill/>
                  </pic:spPr>
                </pic:pic>
              </a:graphicData>
            </a:graphic>
          </wp:anchor>
        </w:drawing>
      </w:r>
    </w:p>
    <w:p>
      <w:pPr>
        <w:sectPr>
          <w:pgSz w:w="11900" w:h="16838" w:orient="portrait"/>
          <w:cols w:equalWidth="0" w:num="1">
            <w:col w:w="9927"/>
          </w:cols>
          <w:pgMar w:left="553" w:top="1440" w:right="1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Page</w:t>
            </w:r>
          </w:p>
        </w:tc>
      </w:tr>
      <w:tr>
        <w:trPr>
          <w:trHeight w:val="443"/>
        </w:trPr>
        <w:tc>
          <w:tcPr>
            <w:tcW w:w="5760" w:type="dxa"/>
            <w:vAlign w:val="bottom"/>
            <w:tcBorders>
              <w:bottom w:val="single" w:sz="8" w:color="2B4C9B"/>
            </w:tcBorders>
            <w:gridSpan w:val="7"/>
          </w:tcPr>
          <w:p>
            <w:pPr>
              <w:spacing w:after="0"/>
              <w:rPr>
                <w:sz w:val="20"/>
                <w:szCs w:val="20"/>
                <w:color w:val="auto"/>
              </w:rPr>
            </w:pPr>
            <w:r>
              <w:rPr>
                <w:rFonts w:ascii="Arial" w:cs="Arial" w:eastAsia="Arial" w:hAnsi="Arial"/>
                <w:sz w:val="17"/>
                <w:szCs w:val="17"/>
                <w:color w:val="2B4C9B"/>
              </w:rPr>
              <w:t>REPORT OF INDEPENDENT REGISTERED PUBLIC ACCOUNTING FIRM</w:t>
            </w:r>
          </w:p>
        </w:tc>
        <w:tc>
          <w:tcPr>
            <w:tcW w:w="466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533"/>
        </w:trPr>
        <w:tc>
          <w:tcPr>
            <w:tcW w:w="10420" w:type="dxa"/>
            <w:vAlign w:val="bottom"/>
            <w:gridSpan w:val="9"/>
          </w:tcPr>
          <w:p>
            <w:pPr>
              <w:spacing w:after="0"/>
              <w:rPr>
                <w:sz w:val="20"/>
                <w:szCs w:val="20"/>
                <w:color w:val="auto"/>
              </w:rPr>
            </w:pPr>
            <w:r>
              <w:rPr>
                <w:rFonts w:ascii="Arial" w:cs="Arial" w:eastAsia="Arial" w:hAnsi="Arial"/>
                <w:sz w:val="17"/>
                <w:szCs w:val="17"/>
                <w:color w:val="auto"/>
              </w:rPr>
              <w:t>FINANCIAL STATEMENTS</w:t>
            </w:r>
          </w:p>
        </w:tc>
        <w:tc>
          <w:tcPr>
            <w:tcW w:w="80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Arial" w:cs="Arial" w:eastAsia="Arial" w:hAnsi="Arial"/>
                <w:sz w:val="17"/>
                <w:szCs w:val="17"/>
                <w:color w:val="2B4C9B"/>
              </w:rPr>
              <w:t>Statements of Net Assets Available for Benefits</w:t>
            </w:r>
          </w:p>
        </w:tc>
        <w:tc>
          <w:tcPr>
            <w:tcW w:w="8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540" w:type="dxa"/>
            <w:vAlign w:val="bottom"/>
            <w:shd w:val="clear" w:color="auto" w:fill="2B4C9B"/>
          </w:tcPr>
          <w:p>
            <w:pPr>
              <w:spacing w:after="0" w:line="20" w:lineRule="exact"/>
              <w:rPr>
                <w:sz w:val="1"/>
                <w:szCs w:val="1"/>
                <w:color w:val="auto"/>
              </w:rPr>
            </w:pPr>
          </w:p>
        </w:tc>
        <w:tc>
          <w:tcPr>
            <w:tcW w:w="1280" w:type="dxa"/>
            <w:vAlign w:val="bottom"/>
            <w:shd w:val="clear" w:color="auto" w:fill="2B4C9B"/>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3"/>
        </w:trPr>
        <w:tc>
          <w:tcPr>
            <w:tcW w:w="500" w:type="dxa"/>
            <w:vAlign w:val="bottom"/>
          </w:tcPr>
          <w:p>
            <w:pPr>
              <w:spacing w:after="0"/>
              <w:rPr>
                <w:sz w:val="22"/>
                <w:szCs w:val="22"/>
                <w:color w:val="auto"/>
              </w:rPr>
            </w:pPr>
          </w:p>
        </w:tc>
        <w:tc>
          <w:tcPr>
            <w:tcW w:w="9920" w:type="dxa"/>
            <w:vAlign w:val="bottom"/>
            <w:gridSpan w:val="8"/>
          </w:tcPr>
          <w:p>
            <w:pPr>
              <w:spacing w:after="0"/>
              <w:rPr>
                <w:sz w:val="20"/>
                <w:szCs w:val="20"/>
                <w:color w:val="auto"/>
              </w:rPr>
            </w:pPr>
            <w:r>
              <w:rPr>
                <w:rFonts w:ascii="Arial" w:cs="Arial" w:eastAsia="Arial" w:hAnsi="Arial"/>
                <w:sz w:val="17"/>
                <w:szCs w:val="17"/>
                <w:color w:val="2B4C9B"/>
              </w:rPr>
              <w:t>Statements of Changes in Net Assets Available for Benefits</w:t>
            </w:r>
          </w:p>
        </w:tc>
        <w:tc>
          <w:tcPr>
            <w:tcW w:w="8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63"/>
        </w:trPr>
        <w:tc>
          <w:tcPr>
            <w:tcW w:w="500" w:type="dxa"/>
            <w:vAlign w:val="bottom"/>
          </w:tcPr>
          <w:p>
            <w:pPr>
              <w:spacing w:after="0"/>
              <w:rPr>
                <w:sz w:val="22"/>
                <w:szCs w:val="22"/>
                <w:color w:val="auto"/>
              </w:rPr>
            </w:pPr>
          </w:p>
        </w:tc>
        <w:tc>
          <w:tcPr>
            <w:tcW w:w="2280" w:type="dxa"/>
            <w:vAlign w:val="bottom"/>
            <w:tcBorders>
              <w:top w:val="single" w:sz="8" w:color="2B4C9B"/>
              <w:bottom w:val="single" w:sz="8" w:color="2B4C9B"/>
            </w:tcBorders>
            <w:gridSpan w:val="3"/>
          </w:tcPr>
          <w:p>
            <w:pPr>
              <w:spacing w:after="0"/>
              <w:rPr>
                <w:sz w:val="20"/>
                <w:szCs w:val="20"/>
                <w:color w:val="auto"/>
              </w:rPr>
            </w:pPr>
            <w:r>
              <w:rPr>
                <w:rFonts w:ascii="Arial" w:cs="Arial" w:eastAsia="Arial" w:hAnsi="Arial"/>
                <w:sz w:val="17"/>
                <w:szCs w:val="17"/>
                <w:color w:val="2B4C9B"/>
                <w:w w:val="99"/>
              </w:rPr>
              <w:t>Notes to Financial Statements</w:t>
            </w:r>
          </w:p>
        </w:tc>
        <w:tc>
          <w:tcPr>
            <w:tcW w:w="2200" w:type="dxa"/>
            <w:vAlign w:val="bottom"/>
            <w:tcBorders>
              <w:top w:val="single" w:sz="8" w:color="2B4C9B"/>
            </w:tcBorders>
            <w:gridSpan w:val="2"/>
          </w:tcPr>
          <w:p>
            <w:pPr>
              <w:spacing w:after="0"/>
              <w:rPr>
                <w:sz w:val="22"/>
                <w:szCs w:val="22"/>
                <w:color w:val="auto"/>
              </w:rPr>
            </w:pPr>
          </w:p>
        </w:tc>
        <w:tc>
          <w:tcPr>
            <w:tcW w:w="5440" w:type="dxa"/>
            <w:vAlign w:val="bottom"/>
            <w:gridSpan w:val="3"/>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534"/>
        </w:trPr>
        <w:tc>
          <w:tcPr>
            <w:tcW w:w="10420" w:type="dxa"/>
            <w:vAlign w:val="bottom"/>
            <w:gridSpan w:val="9"/>
          </w:tcPr>
          <w:p>
            <w:pPr>
              <w:spacing w:after="0"/>
              <w:rPr>
                <w:sz w:val="20"/>
                <w:szCs w:val="20"/>
                <w:color w:val="auto"/>
              </w:rPr>
            </w:pPr>
            <w:r>
              <w:rPr>
                <w:rFonts w:ascii="Arial" w:cs="Arial" w:eastAsia="Arial" w:hAnsi="Arial"/>
                <w:sz w:val="17"/>
                <w:szCs w:val="17"/>
                <w:color w:val="auto"/>
              </w:rPr>
              <w:t>SUPPLEMENTAL SCHEDULE</w:t>
            </w:r>
          </w:p>
        </w:tc>
        <w:tc>
          <w:tcPr>
            <w:tcW w:w="80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Arial" w:cs="Arial" w:eastAsia="Arial" w:hAnsi="Arial"/>
                <w:sz w:val="17"/>
                <w:szCs w:val="17"/>
                <w:color w:val="2B4C9B"/>
              </w:rPr>
              <w:t>Form 5500, Schedule H, Part IV, Line 4i—Schedule of Assets (Held at End of Year)</w:t>
            </w:r>
          </w:p>
        </w:tc>
        <w:tc>
          <w:tcPr>
            <w:tcW w:w="8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5520" w:type="dxa"/>
            <w:vAlign w:val="bottom"/>
            <w:gridSpan w:val="5"/>
            <w:shd w:val="clear" w:color="auto" w:fill="2B4C9B"/>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20"/>
        </w:trPr>
        <w:tc>
          <w:tcPr>
            <w:tcW w:w="1000" w:type="dxa"/>
            <w:vAlign w:val="bottom"/>
            <w:tcBorders>
              <w:bottom w:val="single" w:sz="8" w:color="2B4C9B"/>
            </w:tcBorders>
            <w:gridSpan w:val="2"/>
          </w:tcPr>
          <w:p>
            <w:pPr>
              <w:spacing w:after="0"/>
              <w:rPr>
                <w:sz w:val="20"/>
                <w:szCs w:val="20"/>
                <w:color w:val="auto"/>
              </w:rPr>
            </w:pPr>
            <w:r>
              <w:rPr>
                <w:rFonts w:ascii="Arial" w:cs="Arial" w:eastAsia="Arial" w:hAnsi="Arial"/>
                <w:sz w:val="17"/>
                <w:szCs w:val="17"/>
                <w:color w:val="2B4C9B"/>
                <w:w w:val="98"/>
              </w:rPr>
              <w:t>SIGNATURE</w:t>
            </w:r>
          </w:p>
        </w:tc>
        <w:tc>
          <w:tcPr>
            <w:tcW w:w="9420" w:type="dxa"/>
            <w:vAlign w:val="bottom"/>
            <w:gridSpan w:val="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520"/>
        </w:trPr>
        <w:tc>
          <w:tcPr>
            <w:tcW w:w="10420" w:type="dxa"/>
            <w:vAlign w:val="bottom"/>
            <w:gridSpan w:val="9"/>
          </w:tcPr>
          <w:p>
            <w:pPr>
              <w:spacing w:after="0"/>
              <w:rPr>
                <w:sz w:val="20"/>
                <w:szCs w:val="20"/>
                <w:color w:val="auto"/>
              </w:rPr>
            </w:pPr>
            <w:r>
              <w:rPr>
                <w:rFonts w:ascii="Arial" w:cs="Arial" w:eastAsia="Arial" w:hAnsi="Arial"/>
                <w:sz w:val="17"/>
                <w:szCs w:val="17"/>
                <w:color w:val="2B4C9B"/>
              </w:rPr>
              <w:t>EXHIBIT INDEX</w:t>
            </w:r>
          </w:p>
        </w:tc>
        <w:tc>
          <w:tcPr>
            <w:tcW w:w="8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
        </w:trPr>
        <w:tc>
          <w:tcPr>
            <w:tcW w:w="500" w:type="dxa"/>
            <w:vAlign w:val="bottom"/>
            <w:shd w:val="clear" w:color="auto" w:fill="2B4C9B"/>
          </w:tcPr>
          <w:p>
            <w:pPr>
              <w:spacing w:after="0" w:line="20" w:lineRule="exact"/>
              <w:rPr>
                <w:sz w:val="1"/>
                <w:szCs w:val="1"/>
                <w:color w:val="auto"/>
              </w:rPr>
            </w:pPr>
          </w:p>
        </w:tc>
        <w:tc>
          <w:tcPr>
            <w:tcW w:w="500" w:type="dxa"/>
            <w:vAlign w:val="bottom"/>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369" w:lineRule="exact"/>
        <w:rPr>
          <w:sz w:val="20"/>
          <w:szCs w:val="20"/>
          <w:color w:val="auto"/>
        </w:rPr>
      </w:pPr>
    </w:p>
    <w:p>
      <w:pPr>
        <w:ind w:right="700"/>
        <w:spacing w:after="0" w:line="301" w:lineRule="auto"/>
        <w:rPr>
          <w:sz w:val="20"/>
          <w:szCs w:val="20"/>
          <w:color w:val="auto"/>
        </w:rPr>
      </w:pPr>
      <w:r>
        <w:rPr>
          <w:rFonts w:ascii="Arial" w:cs="Arial" w:eastAsia="Arial" w:hAnsi="Arial"/>
          <w:sz w:val="17"/>
          <w:szCs w:val="17"/>
          <w:color w:val="010202"/>
        </w:rPr>
        <w:t>NOTE: All other schedules required by Section 29 CFR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121" w:right="339" w:bottom="1440" w:gutter="0" w:footer="0" w:header="0"/>
        </w:sectPr>
      </w:pPr>
    </w:p>
    <w:bookmarkStart w:id="2" w:name="page3"/>
    <w:bookmarkEnd w:id="2"/>
    <w:p>
      <w:pPr>
        <w:spacing w:after="0" w:line="45" w:lineRule="exact"/>
        <w:rPr>
          <w:sz w:val="20"/>
          <w:szCs w:val="20"/>
          <w:color w:val="auto"/>
        </w:rPr>
      </w:pPr>
    </w:p>
    <w:p>
      <w:pPr>
        <w:ind w:left="31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 and Plan Participants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 Retirement Plan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4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audited the accompanying statements of net assets available for benefits of Science Applications International Corporation Retirement Plan (the “Plan”) as of December 31, 2024 and 2023, the related statements of changes in net assets available for benefits for</w:t>
      </w:r>
    </w:p>
    <w:p>
      <w:pPr>
        <w:jc w:val="both"/>
        <w:spacing w:after="0" w:line="228" w:lineRule="auto"/>
        <w:rPr>
          <w:sz w:val="20"/>
          <w:szCs w:val="20"/>
          <w:color w:val="auto"/>
        </w:rPr>
      </w:pPr>
      <w:r>
        <w:rPr>
          <w:rFonts w:ascii="Arial" w:cs="Arial" w:eastAsia="Arial" w:hAnsi="Arial"/>
          <w:sz w:val="18"/>
          <w:szCs w:val="18"/>
          <w:color w:val="auto"/>
        </w:rPr>
        <w:t>the years then ended, and the related notes (collectively referred to as the “financial statements”). In our opinion, the financial statements present fairly, in all material respects, the net assets available for benefits of the Plan as of December 31, 2024 and 2023, and the changes in net assets available for benefits for the years then ended in conformity with accounting principles generally accepted in the United States of America.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4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w:t>
      </w:r>
    </w:p>
    <w:p>
      <w:pPr>
        <w:spacing w:after="0" w:line="219" w:lineRule="auto"/>
        <w:rPr>
          <w:sz w:val="20"/>
          <w:szCs w:val="20"/>
          <w:color w:val="auto"/>
        </w:rPr>
      </w:pPr>
      <w:r>
        <w:rPr>
          <w:rFonts w:ascii="Arial" w:cs="Arial" w:eastAsia="Arial" w:hAnsi="Arial"/>
          <w:sz w:val="18"/>
          <w:szCs w:val="18"/>
          <w:color w:val="auto"/>
        </w:rPr>
        <w:t>effectiveness of the Plan’s internal control over financial reporting. Accordingly, we express no such opinion.</w:t>
      </w:r>
    </w:p>
    <w:p>
      <w:pPr>
        <w:jc w:val="both"/>
        <w:spacing w:after="0" w:line="22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estimates made by management, as well as evaluating the overall presentation of the financial statements. We believe that our audits provide a reasonable basis for our opinion.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4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schedule of assets (held at end of year) as of December 31, 2024 (“supplemental information”) has been subjected to audit procedures performed in conjunction with the audit of the Plan’s financial statements. The supplemental information is the responsibility of the Plan’s</w:t>
      </w:r>
    </w:p>
    <w:p>
      <w:pPr>
        <w:jc w:val="both"/>
        <w:spacing w:after="0" w:line="223" w:lineRule="auto"/>
        <w:rPr>
          <w:sz w:val="20"/>
          <w:szCs w:val="20"/>
          <w:color w:val="auto"/>
        </w:rPr>
      </w:pPr>
      <w:r>
        <w:rPr>
          <w:rFonts w:ascii="Arial" w:cs="Arial" w:eastAsia="Arial" w:hAnsi="Arial"/>
          <w:sz w:val="18"/>
          <w:szCs w:val="18"/>
          <w:color w:val="auto"/>
        </w:rPr>
        <w:t>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w:t>
      </w:r>
    </w:p>
    <w:p>
      <w:pPr>
        <w:jc w:val="both"/>
        <w:ind w:right="20"/>
        <w:spacing w:after="0" w:line="237" w:lineRule="auto"/>
        <w:rPr>
          <w:sz w:val="20"/>
          <w:szCs w:val="20"/>
          <w:color w:val="auto"/>
        </w:rPr>
      </w:pPr>
      <w:r>
        <w:rPr>
          <w:rFonts w:ascii="Arial" w:cs="Arial" w:eastAsia="Arial" w:hAnsi="Arial"/>
          <w:sz w:val="18"/>
          <w:szCs w:val="18"/>
          <w:color w:val="auto"/>
        </w:rPr>
        <w:t>and Disclosure under the Employee Retirement Income Security Act of 1974. In our opinion, the supplemental information is fairly stated, in all material respects, in relation to the financial statements as a whole.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2024.</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rPr>
          <w:sz w:val="20"/>
          <w:szCs w:val="20"/>
          <w:color w:val="auto"/>
        </w:rPr>
      </w:pPr>
      <w:r>
        <w:rPr>
          <w:rFonts w:ascii="Arial" w:cs="Arial" w:eastAsia="Arial" w:hAnsi="Arial"/>
          <w:sz w:val="18"/>
          <w:szCs w:val="18"/>
          <w:color w:val="auto"/>
        </w:rPr>
        <w:t>June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- 1 -</w:t>
      </w:r>
    </w:p>
    <w:p>
      <w:pPr>
        <w:sectPr>
          <w:pgSz w:w="11900" w:h="16838" w:orient="portrait"/>
          <w:cols w:equalWidth="0" w:num="1">
            <w:col w:w="11240"/>
          </w:cols>
          <w:pgMar w:left="320" w:top="1440"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2B4C9B"/>
        </w:rPr>
        <w:t>STATEMENTS OF NET ASSETS AVAILABLE FOR BENEFITS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320" w:type="dxa"/>
            <w:vAlign w:val="bottom"/>
          </w:tcPr>
          <w:p>
            <w:pPr>
              <w:jc w:val="right"/>
              <w:ind w:right="15"/>
              <w:spacing w:after="0"/>
              <w:rPr>
                <w:sz w:val="20"/>
                <w:szCs w:val="20"/>
                <w:color w:val="auto"/>
              </w:rPr>
            </w:pPr>
            <w:r>
              <w:rPr>
                <w:rFonts w:ascii="Arial" w:cs="Arial" w:eastAsia="Arial" w:hAnsi="Arial"/>
                <w:sz w:val="14"/>
                <w:szCs w:val="14"/>
                <w:b w:val="1"/>
                <w:bCs w:val="1"/>
                <w:color w:val="2B4C9B"/>
              </w:rPr>
              <w:t>December 31,</w:t>
            </w:r>
          </w:p>
        </w:tc>
        <w:tc>
          <w:tcPr>
            <w:tcW w:w="6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December 31,</w:t>
            </w:r>
          </w:p>
        </w:tc>
      </w:tr>
      <w:tr>
        <w:trPr>
          <w:trHeight w:val="203"/>
        </w:trPr>
        <w:tc>
          <w:tcPr>
            <w:tcW w:w="5540" w:type="dxa"/>
            <w:vAlign w:val="bottom"/>
            <w:tcBorders>
              <w:bottom w:val="single" w:sz="8" w:color="2B4C9B"/>
            </w:tcBorders>
          </w:tcPr>
          <w:p>
            <w:pPr>
              <w:spacing w:after="0"/>
              <w:rPr>
                <w:sz w:val="17"/>
                <w:szCs w:val="17"/>
                <w:color w:val="auto"/>
              </w:rPr>
            </w:pPr>
          </w:p>
        </w:tc>
        <w:tc>
          <w:tcPr>
            <w:tcW w:w="2440" w:type="dxa"/>
            <w:vAlign w:val="bottom"/>
            <w:tcBorders>
              <w:bottom w:val="single" w:sz="8" w:color="2B4C9B"/>
            </w:tcBorders>
          </w:tcPr>
          <w:p>
            <w:pPr>
              <w:spacing w:after="0"/>
              <w:rPr>
                <w:sz w:val="17"/>
                <w:szCs w:val="17"/>
                <w:color w:val="auto"/>
              </w:rPr>
            </w:pPr>
          </w:p>
        </w:tc>
        <w:tc>
          <w:tcPr>
            <w:tcW w:w="1320" w:type="dxa"/>
            <w:vAlign w:val="bottom"/>
            <w:tcBorders>
              <w:bottom w:val="single" w:sz="8" w:color="2B4C9B"/>
            </w:tcBorders>
          </w:tcPr>
          <w:p>
            <w:pPr>
              <w:jc w:val="right"/>
              <w:ind w:right="15"/>
              <w:spacing w:after="0"/>
              <w:rPr>
                <w:sz w:val="20"/>
                <w:szCs w:val="20"/>
                <w:color w:val="auto"/>
              </w:rPr>
            </w:pPr>
            <w:r>
              <w:rPr>
                <w:rFonts w:ascii="Arial" w:cs="Arial" w:eastAsia="Arial" w:hAnsi="Arial"/>
                <w:sz w:val="14"/>
                <w:szCs w:val="14"/>
                <w:b w:val="1"/>
                <w:bCs w:val="1"/>
                <w:color w:val="2B4C9B"/>
              </w:rPr>
              <w:t>2024</w:t>
            </w:r>
          </w:p>
        </w:tc>
        <w:tc>
          <w:tcPr>
            <w:tcW w:w="620" w:type="dxa"/>
            <w:vAlign w:val="bottom"/>
            <w:tcBorders>
              <w:bottom w:val="single" w:sz="8" w:color="2B4C9B"/>
            </w:tcBorders>
          </w:tcPr>
          <w:p>
            <w:pPr>
              <w:spacing w:after="0"/>
              <w:rPr>
                <w:sz w:val="17"/>
                <w:szCs w:val="17"/>
                <w:color w:val="auto"/>
              </w:rPr>
            </w:pP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2023</w:t>
            </w:r>
          </w:p>
        </w:tc>
      </w:tr>
      <w:tr>
        <w:trPr>
          <w:trHeight w:val="189"/>
        </w:trPr>
        <w:tc>
          <w:tcPr>
            <w:tcW w:w="5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940" w:type="dxa"/>
            <w:vAlign w:val="bottom"/>
            <w:gridSpan w:val="2"/>
          </w:tcPr>
          <w:p>
            <w:pPr>
              <w:jc w:val="right"/>
              <w:ind w:right="90"/>
              <w:spacing w:after="0"/>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6"/>
                <w:szCs w:val="16"/>
                <w:color w:val="auto"/>
              </w:rPr>
            </w:pPr>
          </w:p>
        </w:tc>
      </w:tr>
      <w:tr>
        <w:trPr>
          <w:trHeight w:val="238"/>
        </w:trPr>
        <w:tc>
          <w:tcPr>
            <w:tcW w:w="5540" w:type="dxa"/>
            <w:vAlign w:val="bottom"/>
          </w:tcPr>
          <w:p>
            <w:pPr>
              <w:ind w:left="20"/>
              <w:spacing w:after="0"/>
              <w:rPr>
                <w:sz w:val="20"/>
                <w:szCs w:val="20"/>
                <w:color w:val="auto"/>
              </w:rPr>
            </w:pPr>
            <w:r>
              <w:rPr>
                <w:rFonts w:ascii="Arial" w:cs="Arial" w:eastAsia="Arial" w:hAnsi="Arial"/>
                <w:sz w:val="18"/>
                <w:szCs w:val="18"/>
                <w:b w:val="1"/>
                <w:bCs w:val="1"/>
                <w:color w:val="2B4C9B"/>
              </w:rPr>
              <w:t>ASSETS:</w:t>
            </w:r>
          </w:p>
        </w:tc>
        <w:tc>
          <w:tcPr>
            <w:tcW w:w="2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 at fair value</w:t>
            </w:r>
          </w:p>
        </w:tc>
        <w:tc>
          <w:tcPr>
            <w:tcW w:w="244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2B4C9B"/>
              </w:rPr>
              <w:t>$</w:t>
            </w:r>
          </w:p>
        </w:tc>
        <w:tc>
          <w:tcPr>
            <w:tcW w:w="1320" w:type="dxa"/>
            <w:vAlign w:val="bottom"/>
            <w:shd w:val="clear" w:color="auto" w:fill="CFF0FC"/>
          </w:tcPr>
          <w:p>
            <w:pPr>
              <w:jc w:val="right"/>
              <w:ind w:right="75"/>
              <w:spacing w:after="0"/>
              <w:rPr>
                <w:sz w:val="20"/>
                <w:szCs w:val="20"/>
                <w:color w:val="auto"/>
              </w:rPr>
            </w:pPr>
            <w:r>
              <w:rPr>
                <w:rFonts w:ascii="Arial" w:cs="Arial" w:eastAsia="Arial" w:hAnsi="Arial"/>
                <w:sz w:val="18"/>
                <w:szCs w:val="18"/>
                <w:b w:val="1"/>
                <w:bCs w:val="1"/>
                <w:color w:val="2B4C9B"/>
              </w:rPr>
              <w:t>5,366,221</w:t>
            </w:r>
          </w:p>
        </w:tc>
        <w:tc>
          <w:tcPr>
            <w:tcW w:w="6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4,963,065</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Notes receivable from participants</w:t>
            </w:r>
          </w:p>
        </w:tc>
        <w:tc>
          <w:tcPr>
            <w:tcW w:w="24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75"/>
              <w:spacing w:after="0"/>
              <w:rPr>
                <w:sz w:val="20"/>
                <w:szCs w:val="20"/>
                <w:color w:val="auto"/>
              </w:rPr>
            </w:pPr>
            <w:r>
              <w:rPr>
                <w:rFonts w:ascii="Arial" w:cs="Arial" w:eastAsia="Arial" w:hAnsi="Arial"/>
                <w:sz w:val="18"/>
                <w:szCs w:val="18"/>
                <w:b w:val="1"/>
                <w:bCs w:val="1"/>
                <w:color w:val="2B4C9B"/>
              </w:rPr>
              <w:t>31,571</w:t>
            </w: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29,951</w:t>
            </w:r>
          </w:p>
        </w:tc>
      </w:tr>
      <w:tr>
        <w:trPr>
          <w:trHeight w:val="229"/>
        </w:trPr>
        <w:tc>
          <w:tcPr>
            <w:tcW w:w="5540" w:type="dxa"/>
            <w:vAlign w:val="bottom"/>
            <w:tcBorders>
              <w:bottom w:val="single" w:sz="8" w:color="2B4C9B"/>
            </w:tcBorders>
          </w:tcPr>
          <w:p>
            <w:pPr>
              <w:ind w:left="380"/>
              <w:spacing w:after="0"/>
              <w:rPr>
                <w:sz w:val="20"/>
                <w:szCs w:val="20"/>
                <w:color w:val="auto"/>
              </w:rPr>
            </w:pPr>
            <w:r>
              <w:rPr>
                <w:rFonts w:ascii="Arial" w:cs="Arial" w:eastAsia="Arial" w:hAnsi="Arial"/>
                <w:sz w:val="18"/>
                <w:szCs w:val="18"/>
                <w:color w:val="auto"/>
              </w:rPr>
              <w:t>Employer contributions</w:t>
            </w:r>
          </w:p>
        </w:tc>
        <w:tc>
          <w:tcPr>
            <w:tcW w:w="2440" w:type="dxa"/>
            <w:vAlign w:val="bottom"/>
            <w:tcBorders>
              <w:bottom w:val="single" w:sz="8" w:color="2B4C9B"/>
            </w:tcBorders>
          </w:tcPr>
          <w:p>
            <w:pPr>
              <w:spacing w:after="0"/>
              <w:rPr>
                <w:sz w:val="19"/>
                <w:szCs w:val="19"/>
                <w:color w:val="auto"/>
              </w:rPr>
            </w:pPr>
          </w:p>
        </w:tc>
        <w:tc>
          <w:tcPr>
            <w:tcW w:w="1320" w:type="dxa"/>
            <w:vAlign w:val="bottom"/>
            <w:tcBorders>
              <w:bottom w:val="single" w:sz="8" w:color="2B4C9B"/>
            </w:tcBorders>
          </w:tcPr>
          <w:p>
            <w:pPr>
              <w:jc w:val="right"/>
              <w:ind w:right="75"/>
              <w:spacing w:after="0"/>
              <w:rPr>
                <w:sz w:val="20"/>
                <w:szCs w:val="20"/>
                <w:color w:val="auto"/>
              </w:rPr>
            </w:pPr>
            <w:r>
              <w:rPr>
                <w:rFonts w:ascii="Arial" w:cs="Arial" w:eastAsia="Arial" w:hAnsi="Arial"/>
                <w:sz w:val="18"/>
                <w:szCs w:val="18"/>
                <w:b w:val="1"/>
                <w:bCs w:val="1"/>
                <w:color w:val="2B4C9B"/>
              </w:rPr>
              <w:t>22,762</w:t>
            </w:r>
          </w:p>
        </w:tc>
        <w:tc>
          <w:tcPr>
            <w:tcW w:w="620" w:type="dxa"/>
            <w:vAlign w:val="bottom"/>
            <w:tcBorders>
              <w:bottom w:val="single" w:sz="8" w:color="2B4C9B"/>
            </w:tcBorders>
          </w:tcPr>
          <w:p>
            <w:pPr>
              <w:spacing w:after="0"/>
              <w:rPr>
                <w:sz w:val="19"/>
                <w:szCs w:val="19"/>
                <w:color w:val="auto"/>
              </w:rPr>
            </w:pPr>
          </w:p>
        </w:tc>
        <w:tc>
          <w:tcPr>
            <w:tcW w:w="110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21,841</w:t>
            </w:r>
          </w:p>
        </w:tc>
      </w:tr>
      <w:tr>
        <w:trPr>
          <w:trHeight w:val="223"/>
        </w:trPr>
        <w:tc>
          <w:tcPr>
            <w:tcW w:w="5540" w:type="dxa"/>
            <w:vAlign w:val="bottom"/>
            <w:tcBorders>
              <w:bottom w:val="single" w:sz="8" w:color="2B4C9B"/>
            </w:tcBorders>
          </w:tcPr>
          <w:p>
            <w:pPr>
              <w:ind w:left="760"/>
              <w:spacing w:after="0"/>
              <w:rPr>
                <w:sz w:val="20"/>
                <w:szCs w:val="20"/>
                <w:color w:val="auto"/>
              </w:rPr>
            </w:pPr>
            <w:r>
              <w:rPr>
                <w:rFonts w:ascii="Arial" w:cs="Arial" w:eastAsia="Arial" w:hAnsi="Arial"/>
                <w:sz w:val="18"/>
                <w:szCs w:val="18"/>
                <w:color w:val="auto"/>
              </w:rPr>
              <w:t>Total receivables</w:t>
            </w:r>
          </w:p>
        </w:tc>
        <w:tc>
          <w:tcPr>
            <w:tcW w:w="2440" w:type="dxa"/>
            <w:vAlign w:val="bottom"/>
            <w:tcBorders>
              <w:bottom w:val="single" w:sz="8" w:color="2B4C9B"/>
            </w:tcBorders>
          </w:tcPr>
          <w:p>
            <w:pPr>
              <w:spacing w:after="0"/>
              <w:rPr>
                <w:sz w:val="19"/>
                <w:szCs w:val="19"/>
                <w:color w:val="auto"/>
              </w:rPr>
            </w:pPr>
          </w:p>
        </w:tc>
        <w:tc>
          <w:tcPr>
            <w:tcW w:w="1320" w:type="dxa"/>
            <w:vAlign w:val="bottom"/>
            <w:tcBorders>
              <w:bottom w:val="single" w:sz="8" w:color="2B4C9B"/>
            </w:tcBorders>
          </w:tcPr>
          <w:p>
            <w:pPr>
              <w:jc w:val="right"/>
              <w:ind w:right="75"/>
              <w:spacing w:after="0"/>
              <w:rPr>
                <w:sz w:val="20"/>
                <w:szCs w:val="20"/>
                <w:color w:val="auto"/>
              </w:rPr>
            </w:pPr>
            <w:r>
              <w:rPr>
                <w:rFonts w:ascii="Arial" w:cs="Arial" w:eastAsia="Arial" w:hAnsi="Arial"/>
                <w:sz w:val="18"/>
                <w:szCs w:val="18"/>
                <w:b w:val="1"/>
                <w:bCs w:val="1"/>
                <w:color w:val="2B4C9B"/>
              </w:rPr>
              <w:t>54,333</w:t>
            </w:r>
          </w:p>
        </w:tc>
        <w:tc>
          <w:tcPr>
            <w:tcW w:w="620" w:type="dxa"/>
            <w:vAlign w:val="bottom"/>
            <w:tcBorders>
              <w:bottom w:val="single" w:sz="8" w:color="2B4C9B"/>
            </w:tcBorders>
          </w:tcPr>
          <w:p>
            <w:pPr>
              <w:spacing w:after="0"/>
              <w:rPr>
                <w:sz w:val="19"/>
                <w:szCs w:val="19"/>
                <w:color w:val="auto"/>
              </w:rPr>
            </w:pPr>
          </w:p>
        </w:tc>
        <w:tc>
          <w:tcPr>
            <w:tcW w:w="110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51,792</w:t>
            </w:r>
          </w:p>
        </w:tc>
      </w:tr>
      <w:tr>
        <w:trPr>
          <w:trHeight w:val="230"/>
        </w:trPr>
        <w:tc>
          <w:tcPr>
            <w:tcW w:w="554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440" w:type="dxa"/>
            <w:vAlign w:val="bottom"/>
            <w:tcBorders>
              <w:bottom w:val="single" w:sz="8" w:color="2B4C9B"/>
            </w:tcBorders>
            <w:shd w:val="clear" w:color="auto" w:fill="CFF0FC"/>
          </w:tcPr>
          <w:p>
            <w:pPr>
              <w:spacing w:after="0"/>
              <w:rPr>
                <w:sz w:val="20"/>
                <w:szCs w:val="20"/>
                <w:color w:val="auto"/>
              </w:rPr>
            </w:pPr>
          </w:p>
        </w:tc>
        <w:tc>
          <w:tcPr>
            <w:tcW w:w="1320" w:type="dxa"/>
            <w:vAlign w:val="bottom"/>
            <w:tcBorders>
              <w:bottom w:val="single" w:sz="8" w:color="2B4C9B"/>
            </w:tcBorders>
            <w:shd w:val="clear" w:color="auto" w:fill="CFF0FC"/>
          </w:tcPr>
          <w:p>
            <w:pPr>
              <w:jc w:val="right"/>
              <w:ind w:right="75"/>
              <w:spacing w:after="0"/>
              <w:rPr>
                <w:sz w:val="20"/>
                <w:szCs w:val="20"/>
                <w:color w:val="auto"/>
              </w:rPr>
            </w:pPr>
            <w:r>
              <w:rPr>
                <w:rFonts w:ascii="Arial" w:cs="Arial" w:eastAsia="Arial" w:hAnsi="Arial"/>
                <w:sz w:val="18"/>
                <w:szCs w:val="18"/>
                <w:b w:val="1"/>
                <w:bCs w:val="1"/>
                <w:color w:val="2B4C9B"/>
              </w:rPr>
              <w:t>5,420,554</w:t>
            </w:r>
          </w:p>
        </w:tc>
        <w:tc>
          <w:tcPr>
            <w:tcW w:w="620" w:type="dxa"/>
            <w:vAlign w:val="bottom"/>
            <w:tcBorders>
              <w:bottom w:val="single" w:sz="8" w:color="2B4C9B"/>
            </w:tcBorders>
            <w:shd w:val="clear" w:color="auto" w:fill="CFF0FC"/>
          </w:tcPr>
          <w:p>
            <w:pPr>
              <w:spacing w:after="0"/>
              <w:rPr>
                <w:sz w:val="20"/>
                <w:szCs w:val="20"/>
                <w:color w:val="auto"/>
              </w:rPr>
            </w:pPr>
          </w:p>
        </w:tc>
        <w:tc>
          <w:tcPr>
            <w:tcW w:w="110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color w:val="auto"/>
              </w:rPr>
              <w:t>5,014,857</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b w:val="1"/>
                <w:bCs w:val="1"/>
                <w:color w:val="2B4C9B"/>
              </w:rPr>
              <w:t>LIABILITIES:</w:t>
            </w:r>
          </w:p>
        </w:tc>
        <w:tc>
          <w:tcPr>
            <w:tcW w:w="2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54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Excess contributions due to participants</w:t>
            </w:r>
          </w:p>
        </w:tc>
        <w:tc>
          <w:tcPr>
            <w:tcW w:w="2440" w:type="dxa"/>
            <w:vAlign w:val="bottom"/>
            <w:tcBorders>
              <w:bottom w:val="single" w:sz="8" w:color="2B4C9B"/>
            </w:tcBorders>
            <w:shd w:val="clear" w:color="auto" w:fill="CFF0FC"/>
          </w:tcPr>
          <w:p>
            <w:pPr>
              <w:spacing w:after="0"/>
              <w:rPr>
                <w:sz w:val="19"/>
                <w:szCs w:val="19"/>
                <w:color w:val="auto"/>
              </w:rPr>
            </w:pPr>
          </w:p>
        </w:tc>
        <w:tc>
          <w:tcPr>
            <w:tcW w:w="1320" w:type="dxa"/>
            <w:vAlign w:val="bottom"/>
            <w:tcBorders>
              <w:bottom w:val="single" w:sz="8" w:color="2B4C9B"/>
            </w:tcBorders>
            <w:shd w:val="clear" w:color="auto" w:fill="CFF0FC"/>
          </w:tcPr>
          <w:p>
            <w:pPr>
              <w:jc w:val="right"/>
              <w:ind w:right="75"/>
              <w:spacing w:after="0"/>
              <w:rPr>
                <w:sz w:val="20"/>
                <w:szCs w:val="20"/>
                <w:color w:val="auto"/>
              </w:rPr>
            </w:pPr>
            <w:r>
              <w:rPr>
                <w:rFonts w:ascii="Arial" w:cs="Arial" w:eastAsia="Arial" w:hAnsi="Arial"/>
                <w:sz w:val="18"/>
                <w:szCs w:val="18"/>
                <w:b w:val="1"/>
                <w:bCs w:val="1"/>
                <w:color w:val="2B4C9B"/>
              </w:rPr>
              <w:t>3</w:t>
            </w:r>
          </w:p>
        </w:tc>
        <w:tc>
          <w:tcPr>
            <w:tcW w:w="620" w:type="dxa"/>
            <w:vAlign w:val="bottom"/>
            <w:tcBorders>
              <w:bottom w:val="single" w:sz="8" w:color="2B4C9B"/>
            </w:tcBorders>
            <w:shd w:val="clear" w:color="auto" w:fill="CFF0FC"/>
          </w:tcPr>
          <w:p>
            <w:pPr>
              <w:spacing w:after="0"/>
              <w:rPr>
                <w:sz w:val="19"/>
                <w:szCs w:val="19"/>
                <w:color w:val="auto"/>
              </w:rPr>
            </w:pPr>
          </w:p>
        </w:tc>
        <w:tc>
          <w:tcPr>
            <w:tcW w:w="110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color w:val="auto"/>
              </w:rPr>
              <w:t>3</w:t>
            </w:r>
          </w:p>
        </w:tc>
      </w:tr>
      <w:tr>
        <w:trPr>
          <w:trHeight w:val="230"/>
        </w:trPr>
        <w:tc>
          <w:tcPr>
            <w:tcW w:w="554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NET ASSETS AVAILABLE FOR BENEFITS</w:t>
            </w:r>
          </w:p>
        </w:tc>
        <w:tc>
          <w:tcPr>
            <w:tcW w:w="2440" w:type="dxa"/>
            <w:vAlign w:val="bottom"/>
            <w:tcBorders>
              <w:bottom w:val="single" w:sz="8" w:color="2B4C9B"/>
            </w:tcBorders>
          </w:tcPr>
          <w:p>
            <w:pPr>
              <w:jc w:val="right"/>
              <w:ind w:right="190"/>
              <w:spacing w:after="0"/>
              <w:rPr>
                <w:sz w:val="20"/>
                <w:szCs w:val="20"/>
                <w:color w:val="auto"/>
              </w:rPr>
            </w:pPr>
            <w:r>
              <w:rPr>
                <w:rFonts w:ascii="Arial" w:cs="Arial" w:eastAsia="Arial" w:hAnsi="Arial"/>
                <w:sz w:val="18"/>
                <w:szCs w:val="18"/>
                <w:b w:val="1"/>
                <w:bCs w:val="1"/>
                <w:color w:val="2B4C9B"/>
              </w:rPr>
              <w:t>$</w:t>
            </w:r>
          </w:p>
        </w:tc>
        <w:tc>
          <w:tcPr>
            <w:tcW w:w="1320" w:type="dxa"/>
            <w:vAlign w:val="bottom"/>
            <w:tcBorders>
              <w:bottom w:val="single" w:sz="8" w:color="2B4C9B"/>
            </w:tcBorders>
          </w:tcPr>
          <w:p>
            <w:pPr>
              <w:jc w:val="right"/>
              <w:ind w:right="75"/>
              <w:spacing w:after="0"/>
              <w:rPr>
                <w:sz w:val="20"/>
                <w:szCs w:val="20"/>
                <w:color w:val="auto"/>
              </w:rPr>
            </w:pPr>
            <w:r>
              <w:rPr>
                <w:rFonts w:ascii="Arial" w:cs="Arial" w:eastAsia="Arial" w:hAnsi="Arial"/>
                <w:sz w:val="18"/>
                <w:szCs w:val="18"/>
                <w:b w:val="1"/>
                <w:bCs w:val="1"/>
                <w:color w:val="2B4C9B"/>
              </w:rPr>
              <w:t>5,420,551</w:t>
            </w:r>
          </w:p>
        </w:tc>
        <w:tc>
          <w:tcPr>
            <w:tcW w:w="620" w:type="dxa"/>
            <w:vAlign w:val="bottom"/>
            <w:tcBorders>
              <w:bottom w:val="single" w:sz="8" w:color="2B4C9B"/>
            </w:tcBorders>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5,014,854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020"/>
          </w:cols>
          <w:pgMar w:left="440" w:top="12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2B4C9B"/>
        </w:rPr>
        <w:t>- 2 -</w:t>
      </w:r>
    </w:p>
    <w:p>
      <w:pPr>
        <w:sectPr>
          <w:pgSz w:w="11900" w:h="16838" w:orient="portrait"/>
          <w:cols w:equalWidth="0" w:num="1">
            <w:col w:w="11020"/>
          </w:cols>
          <w:pgMar w:left="440" w:top="122" w:right="4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STATEMENTS OF CHANGES IN NET ASSETS AVAILABLE FOR BENEFITS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40" w:type="dxa"/>
            <w:vAlign w:val="bottom"/>
          </w:tcPr>
          <w:p>
            <w:pPr>
              <w:spacing w:after="0"/>
              <w:rPr>
                <w:sz w:val="16"/>
                <w:szCs w:val="16"/>
                <w:color w:val="auto"/>
              </w:rPr>
            </w:pPr>
          </w:p>
        </w:tc>
        <w:tc>
          <w:tcPr>
            <w:tcW w:w="460" w:type="dxa"/>
            <w:vAlign w:val="bottom"/>
            <w:tcBorders>
              <w:bottom w:val="single" w:sz="8" w:color="2B4C9B"/>
            </w:tcBorders>
          </w:tcPr>
          <w:p>
            <w:pPr>
              <w:spacing w:after="0"/>
              <w:rPr>
                <w:sz w:val="16"/>
                <w:szCs w:val="16"/>
                <w:color w:val="auto"/>
              </w:rPr>
            </w:pPr>
          </w:p>
        </w:tc>
        <w:tc>
          <w:tcPr>
            <w:tcW w:w="1940" w:type="dxa"/>
            <w:vAlign w:val="bottom"/>
            <w:tcBorders>
              <w:bottom w:val="single" w:sz="8" w:color="2B4C9B"/>
            </w:tcBorders>
            <w:gridSpan w:val="2"/>
          </w:tcPr>
          <w:p>
            <w:pPr>
              <w:jc w:val="right"/>
              <w:ind w:right="190"/>
              <w:spacing w:after="0"/>
              <w:rPr>
                <w:sz w:val="20"/>
                <w:szCs w:val="20"/>
                <w:color w:val="auto"/>
              </w:rPr>
            </w:pPr>
            <w:r>
              <w:rPr>
                <w:rFonts w:ascii="Arial" w:cs="Arial" w:eastAsia="Arial" w:hAnsi="Arial"/>
                <w:sz w:val="14"/>
                <w:szCs w:val="14"/>
                <w:color w:val="auto"/>
              </w:rPr>
              <w:t>Year Ended</w:t>
            </w:r>
          </w:p>
        </w:tc>
        <w:tc>
          <w:tcPr>
            <w:tcW w:w="1100" w:type="dxa"/>
            <w:vAlign w:val="bottom"/>
            <w:tcBorders>
              <w:bottom w:val="single" w:sz="8" w:color="2B4C9B"/>
            </w:tcBorders>
          </w:tcPr>
          <w:p>
            <w:pPr>
              <w:spacing w:after="0"/>
              <w:rPr>
                <w:sz w:val="16"/>
                <w:szCs w:val="16"/>
                <w:color w:val="auto"/>
              </w:rPr>
            </w:pPr>
          </w:p>
        </w:tc>
      </w:tr>
      <w:tr>
        <w:trPr>
          <w:trHeight w:val="198"/>
        </w:trPr>
        <w:tc>
          <w:tcPr>
            <w:tcW w:w="7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ind w:right="14"/>
              <w:spacing w:after="0"/>
              <w:rPr>
                <w:sz w:val="20"/>
                <w:szCs w:val="20"/>
                <w:color w:val="auto"/>
              </w:rPr>
            </w:pPr>
            <w:r>
              <w:rPr>
                <w:rFonts w:ascii="Arial" w:cs="Arial" w:eastAsia="Arial" w:hAnsi="Arial"/>
                <w:sz w:val="14"/>
                <w:szCs w:val="14"/>
                <w:b w:val="1"/>
                <w:bCs w:val="1"/>
                <w:color w:val="2B4C9B"/>
              </w:rPr>
              <w:t>December 31,</w:t>
            </w: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December 31,</w:t>
            </w:r>
          </w:p>
        </w:tc>
      </w:tr>
      <w:tr>
        <w:trPr>
          <w:trHeight w:val="203"/>
        </w:trPr>
        <w:tc>
          <w:tcPr>
            <w:tcW w:w="7740" w:type="dxa"/>
            <w:vAlign w:val="bottom"/>
            <w:tcBorders>
              <w:bottom w:val="single" w:sz="8" w:color="2B4C9B"/>
            </w:tcBorders>
          </w:tcPr>
          <w:p>
            <w:pPr>
              <w:spacing w:after="0"/>
              <w:rPr>
                <w:sz w:val="17"/>
                <w:szCs w:val="17"/>
                <w:color w:val="auto"/>
              </w:rPr>
            </w:pPr>
          </w:p>
        </w:tc>
        <w:tc>
          <w:tcPr>
            <w:tcW w:w="460" w:type="dxa"/>
            <w:vAlign w:val="bottom"/>
            <w:tcBorders>
              <w:bottom w:val="single" w:sz="8" w:color="2B4C9B"/>
            </w:tcBorders>
          </w:tcPr>
          <w:p>
            <w:pPr>
              <w:spacing w:after="0"/>
              <w:rPr>
                <w:sz w:val="17"/>
                <w:szCs w:val="17"/>
                <w:color w:val="auto"/>
              </w:rPr>
            </w:pPr>
          </w:p>
        </w:tc>
        <w:tc>
          <w:tcPr>
            <w:tcW w:w="136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b w:val="1"/>
                <w:bCs w:val="1"/>
                <w:color w:val="2B4C9B"/>
              </w:rPr>
              <w:t>2024</w:t>
            </w:r>
          </w:p>
        </w:tc>
        <w:tc>
          <w:tcPr>
            <w:tcW w:w="580" w:type="dxa"/>
            <w:vAlign w:val="bottom"/>
            <w:tcBorders>
              <w:bottom w:val="single" w:sz="8" w:color="2B4C9B"/>
            </w:tcBorders>
          </w:tcPr>
          <w:p>
            <w:pPr>
              <w:spacing w:after="0"/>
              <w:rPr>
                <w:sz w:val="17"/>
                <w:szCs w:val="17"/>
                <w:color w:val="auto"/>
              </w:rPr>
            </w:pP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2023</w:t>
            </w:r>
          </w:p>
        </w:tc>
      </w:tr>
      <w:tr>
        <w:trPr>
          <w:trHeight w:val="189"/>
        </w:trPr>
        <w:tc>
          <w:tcPr>
            <w:tcW w:w="7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6"/>
                <w:szCs w:val="16"/>
                <w:color w:val="auto"/>
              </w:rPr>
            </w:pPr>
          </w:p>
        </w:tc>
      </w:tr>
      <w:tr>
        <w:trPr>
          <w:trHeight w:val="238"/>
        </w:trPr>
        <w:tc>
          <w:tcPr>
            <w:tcW w:w="774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7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appreciation in fair value of investments</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b w:val="1"/>
                <w:bCs w:val="1"/>
                <w:color w:val="2B4C9B"/>
                <w:w w:val="99"/>
              </w:rPr>
              <w:t>$</w:t>
            </w:r>
          </w:p>
        </w:tc>
        <w:tc>
          <w:tcPr>
            <w:tcW w:w="1360" w:type="dxa"/>
            <w:vAlign w:val="bottom"/>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514,368</w:t>
            </w:r>
          </w:p>
        </w:tc>
        <w:tc>
          <w:tcPr>
            <w:tcW w:w="5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678,105</w:t>
            </w:r>
          </w:p>
        </w:tc>
      </w:tr>
      <w:tr>
        <w:trPr>
          <w:trHeight w:val="230"/>
        </w:trPr>
        <w:tc>
          <w:tcPr>
            <w:tcW w:w="7740" w:type="dxa"/>
            <w:vAlign w:val="bottom"/>
            <w:tcBorders>
              <w:bottom w:val="single" w:sz="8" w:color="2B4C9B"/>
            </w:tcBorders>
          </w:tcPr>
          <w:p>
            <w:pPr>
              <w:ind w:left="360"/>
              <w:spacing w:after="0"/>
              <w:rPr>
                <w:sz w:val="20"/>
                <w:szCs w:val="20"/>
                <w:color w:val="auto"/>
              </w:rPr>
            </w:pPr>
            <w:r>
              <w:rPr>
                <w:rFonts w:ascii="Arial" w:cs="Arial" w:eastAsia="Arial" w:hAnsi="Arial"/>
                <w:sz w:val="18"/>
                <w:szCs w:val="18"/>
                <w:color w:val="auto"/>
              </w:rPr>
              <w:t>Interest and dividends</w:t>
            </w:r>
          </w:p>
        </w:tc>
        <w:tc>
          <w:tcPr>
            <w:tcW w:w="460" w:type="dxa"/>
            <w:vAlign w:val="bottom"/>
            <w:tcBorders>
              <w:bottom w:val="single" w:sz="8" w:color="2B4C9B"/>
            </w:tcBorders>
          </w:tcPr>
          <w:p>
            <w:pPr>
              <w:spacing w:after="0"/>
              <w:rPr>
                <w:sz w:val="19"/>
                <w:szCs w:val="19"/>
                <w:color w:val="auto"/>
              </w:rPr>
            </w:pPr>
          </w:p>
        </w:tc>
        <w:tc>
          <w:tcPr>
            <w:tcW w:w="136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b w:val="1"/>
                <w:bCs w:val="1"/>
                <w:color w:val="2B4C9B"/>
              </w:rPr>
              <w:t>96,991</w:t>
            </w:r>
          </w:p>
        </w:tc>
        <w:tc>
          <w:tcPr>
            <w:tcW w:w="580" w:type="dxa"/>
            <w:vAlign w:val="bottom"/>
            <w:tcBorders>
              <w:bottom w:val="single" w:sz="8" w:color="2B4C9B"/>
            </w:tcBorders>
          </w:tcPr>
          <w:p>
            <w:pPr>
              <w:spacing w:after="0"/>
              <w:rPr>
                <w:sz w:val="19"/>
                <w:szCs w:val="19"/>
                <w:color w:val="auto"/>
              </w:rPr>
            </w:pP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69,992</w:t>
            </w:r>
          </w:p>
        </w:tc>
      </w:tr>
      <w:tr>
        <w:trPr>
          <w:trHeight w:val="223"/>
        </w:trPr>
        <w:tc>
          <w:tcPr>
            <w:tcW w:w="7740" w:type="dxa"/>
            <w:vAlign w:val="bottom"/>
            <w:tcBorders>
              <w:bottom w:val="single" w:sz="8" w:color="2B4C9B"/>
            </w:tcBorders>
            <w:shd w:val="clear" w:color="auto" w:fill="CFF0FC"/>
          </w:tcPr>
          <w:p>
            <w:pPr>
              <w:ind w:left="700"/>
              <w:spacing w:after="0"/>
              <w:rPr>
                <w:sz w:val="20"/>
                <w:szCs w:val="20"/>
                <w:color w:val="auto"/>
              </w:rPr>
            </w:pPr>
            <w:r>
              <w:rPr>
                <w:rFonts w:ascii="Arial" w:cs="Arial" w:eastAsia="Arial" w:hAnsi="Arial"/>
                <w:sz w:val="18"/>
                <w:szCs w:val="18"/>
                <w:color w:val="auto"/>
              </w:rPr>
              <w:t>Net investment income</w:t>
            </w:r>
          </w:p>
        </w:tc>
        <w:tc>
          <w:tcPr>
            <w:tcW w:w="460" w:type="dxa"/>
            <w:vAlign w:val="bottom"/>
            <w:tcBorders>
              <w:bottom w:val="single" w:sz="8" w:color="2B4C9B"/>
            </w:tcBorders>
            <w:shd w:val="clear" w:color="auto" w:fill="CFF0FC"/>
          </w:tcPr>
          <w:p>
            <w:pPr>
              <w:spacing w:after="0"/>
              <w:rPr>
                <w:sz w:val="19"/>
                <w:szCs w:val="19"/>
                <w:color w:val="auto"/>
              </w:rPr>
            </w:pPr>
          </w:p>
        </w:tc>
        <w:tc>
          <w:tcPr>
            <w:tcW w:w="136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611,359</w:t>
            </w:r>
          </w:p>
        </w:tc>
        <w:tc>
          <w:tcPr>
            <w:tcW w:w="580" w:type="dxa"/>
            <w:vAlign w:val="bottom"/>
            <w:tcBorders>
              <w:bottom w:val="single" w:sz="8" w:color="2B4C9B"/>
            </w:tcBorders>
            <w:shd w:val="clear" w:color="auto" w:fill="CFF0FC"/>
          </w:tcPr>
          <w:p>
            <w:pPr>
              <w:spacing w:after="0"/>
              <w:rPr>
                <w:sz w:val="19"/>
                <w:szCs w:val="19"/>
                <w:color w:val="auto"/>
              </w:rPr>
            </w:pPr>
          </w:p>
        </w:tc>
        <w:tc>
          <w:tcPr>
            <w:tcW w:w="11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748,097</w:t>
            </w:r>
          </w:p>
        </w:tc>
      </w:tr>
      <w:tr>
        <w:trPr>
          <w:trHeight w:val="237"/>
        </w:trPr>
        <w:tc>
          <w:tcPr>
            <w:tcW w:w="7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7740" w:type="dxa"/>
            <w:vAlign w:val="bottom"/>
            <w:tcBorders>
              <w:bottom w:val="single" w:sz="8" w:color="2B4C9B"/>
            </w:tcBorders>
            <w:shd w:val="clear" w:color="auto" w:fill="CCF0FC"/>
          </w:tcPr>
          <w:p>
            <w:pPr>
              <w:ind w:left="20"/>
              <w:spacing w:after="0"/>
              <w:rPr>
                <w:sz w:val="20"/>
                <w:szCs w:val="20"/>
                <w:color w:val="auto"/>
              </w:rPr>
            </w:pPr>
            <w:r>
              <w:rPr>
                <w:rFonts w:ascii="Arial" w:cs="Arial" w:eastAsia="Arial" w:hAnsi="Arial"/>
                <w:sz w:val="18"/>
                <w:szCs w:val="18"/>
                <w:color w:val="auto"/>
              </w:rPr>
              <w:t>INTEREST INCOME ON NOTES RECEIVABLE FROM PARTICIPANTS</w:t>
            </w:r>
          </w:p>
        </w:tc>
        <w:tc>
          <w:tcPr>
            <w:tcW w:w="460" w:type="dxa"/>
            <w:vAlign w:val="bottom"/>
            <w:tcBorders>
              <w:bottom w:val="single" w:sz="8" w:color="2B4C9B"/>
            </w:tcBorders>
            <w:shd w:val="clear" w:color="auto" w:fill="CCF0FC"/>
          </w:tcPr>
          <w:p>
            <w:pPr>
              <w:spacing w:after="0"/>
              <w:rPr>
                <w:sz w:val="19"/>
                <w:szCs w:val="19"/>
                <w:color w:val="auto"/>
              </w:rPr>
            </w:pPr>
          </w:p>
        </w:tc>
        <w:tc>
          <w:tcPr>
            <w:tcW w:w="1360" w:type="dxa"/>
            <w:vAlign w:val="bottom"/>
            <w:tcBorders>
              <w:bottom w:val="single" w:sz="8" w:color="2B4C9B"/>
            </w:tcBorders>
            <w:shd w:val="clear" w:color="auto" w:fill="CCF0FC"/>
          </w:tcPr>
          <w:p>
            <w:pPr>
              <w:jc w:val="right"/>
              <w:ind w:right="74"/>
              <w:spacing w:after="0"/>
              <w:rPr>
                <w:sz w:val="20"/>
                <w:szCs w:val="20"/>
                <w:color w:val="auto"/>
              </w:rPr>
            </w:pPr>
            <w:r>
              <w:rPr>
                <w:rFonts w:ascii="Arial" w:cs="Arial" w:eastAsia="Arial" w:hAnsi="Arial"/>
                <w:sz w:val="18"/>
                <w:szCs w:val="18"/>
                <w:b w:val="1"/>
                <w:bCs w:val="1"/>
                <w:color w:val="2B4C9B"/>
              </w:rPr>
              <w:t>2,306</w:t>
            </w:r>
          </w:p>
        </w:tc>
        <w:tc>
          <w:tcPr>
            <w:tcW w:w="580" w:type="dxa"/>
            <w:vAlign w:val="bottom"/>
            <w:tcBorders>
              <w:bottom w:val="single" w:sz="8" w:color="2B4C9B"/>
            </w:tcBorders>
            <w:shd w:val="clear" w:color="auto" w:fill="CCF0FC"/>
          </w:tcPr>
          <w:p>
            <w:pPr>
              <w:spacing w:after="0"/>
              <w:rPr>
                <w:sz w:val="19"/>
                <w:szCs w:val="19"/>
                <w:color w:val="auto"/>
              </w:rPr>
            </w:pPr>
          </w:p>
        </w:tc>
        <w:tc>
          <w:tcPr>
            <w:tcW w:w="1100" w:type="dxa"/>
            <w:vAlign w:val="bottom"/>
            <w:tcBorders>
              <w:bottom w:val="single" w:sz="8" w:color="2B4C9B"/>
            </w:tcBorders>
            <w:shd w:val="clear" w:color="auto" w:fill="CCF0FC"/>
          </w:tcPr>
          <w:p>
            <w:pPr>
              <w:jc w:val="right"/>
              <w:spacing w:after="0"/>
              <w:rPr>
                <w:sz w:val="20"/>
                <w:szCs w:val="20"/>
                <w:color w:val="auto"/>
              </w:rPr>
            </w:pPr>
            <w:r>
              <w:rPr>
                <w:rFonts w:ascii="Arial" w:cs="Arial" w:eastAsia="Arial" w:hAnsi="Arial"/>
                <w:sz w:val="18"/>
                <w:szCs w:val="18"/>
                <w:color w:val="auto"/>
              </w:rPr>
              <w:t>1,777</w:t>
            </w:r>
          </w:p>
        </w:tc>
      </w:tr>
      <w:tr>
        <w:trPr>
          <w:trHeight w:val="237"/>
        </w:trPr>
        <w:tc>
          <w:tcPr>
            <w:tcW w:w="7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CONTRIBUTIONS:</w:t>
            </w:r>
          </w:p>
        </w:tc>
        <w:tc>
          <w:tcPr>
            <w:tcW w:w="4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0"/>
        </w:trPr>
        <w:tc>
          <w:tcPr>
            <w:tcW w:w="7740" w:type="dxa"/>
            <w:vAlign w:val="bottom"/>
          </w:tcPr>
          <w:p>
            <w:pPr>
              <w:ind w:left="360"/>
              <w:spacing w:after="0"/>
              <w:rPr>
                <w:sz w:val="20"/>
                <w:szCs w:val="20"/>
                <w:color w:val="auto"/>
              </w:rPr>
            </w:pPr>
            <w:r>
              <w:rPr>
                <w:rFonts w:ascii="Arial" w:cs="Arial" w:eastAsia="Arial" w:hAnsi="Arial"/>
                <w:sz w:val="18"/>
                <w:szCs w:val="18"/>
                <w:color w:val="auto"/>
              </w:rPr>
              <w:t>Participants</w:t>
            </w:r>
          </w:p>
        </w:tc>
        <w:tc>
          <w:tcPr>
            <w:tcW w:w="46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b w:val="1"/>
                <w:bCs w:val="1"/>
                <w:color w:val="2B4C9B"/>
              </w:rPr>
              <w:t>226,236</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216,566</w:t>
            </w:r>
          </w:p>
        </w:tc>
      </w:tr>
      <w:tr>
        <w:trPr>
          <w:trHeight w:val="229"/>
        </w:trPr>
        <w:tc>
          <w:tcPr>
            <w:tcW w:w="7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Employer</w:t>
            </w:r>
          </w:p>
        </w:tc>
        <w:tc>
          <w:tcPr>
            <w:tcW w:w="4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85,922</w:t>
            </w: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81,542</w:t>
            </w:r>
          </w:p>
        </w:tc>
      </w:tr>
      <w:tr>
        <w:trPr>
          <w:trHeight w:val="230"/>
        </w:trPr>
        <w:tc>
          <w:tcPr>
            <w:tcW w:w="7740" w:type="dxa"/>
            <w:vAlign w:val="bottom"/>
            <w:tcBorders>
              <w:bottom w:val="single" w:sz="8" w:color="2B4C9B"/>
            </w:tcBorders>
          </w:tcPr>
          <w:p>
            <w:pPr>
              <w:ind w:left="360"/>
              <w:spacing w:after="0"/>
              <w:rPr>
                <w:sz w:val="20"/>
                <w:szCs w:val="20"/>
                <w:color w:val="auto"/>
              </w:rPr>
            </w:pPr>
            <w:r>
              <w:rPr>
                <w:rFonts w:ascii="Arial" w:cs="Arial" w:eastAsia="Arial" w:hAnsi="Arial"/>
                <w:sz w:val="18"/>
                <w:szCs w:val="18"/>
                <w:color w:val="auto"/>
              </w:rPr>
              <w:t>Participant rollovers</w:t>
            </w:r>
          </w:p>
        </w:tc>
        <w:tc>
          <w:tcPr>
            <w:tcW w:w="460" w:type="dxa"/>
            <w:vAlign w:val="bottom"/>
            <w:tcBorders>
              <w:bottom w:val="single" w:sz="8" w:color="2B4C9B"/>
            </w:tcBorders>
          </w:tcPr>
          <w:p>
            <w:pPr>
              <w:spacing w:after="0"/>
              <w:rPr>
                <w:sz w:val="19"/>
                <w:szCs w:val="19"/>
                <w:color w:val="auto"/>
              </w:rPr>
            </w:pPr>
          </w:p>
        </w:tc>
        <w:tc>
          <w:tcPr>
            <w:tcW w:w="136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b w:val="1"/>
                <w:bCs w:val="1"/>
                <w:color w:val="2B4C9B"/>
              </w:rPr>
              <w:t>52,656</w:t>
            </w:r>
          </w:p>
        </w:tc>
        <w:tc>
          <w:tcPr>
            <w:tcW w:w="580" w:type="dxa"/>
            <w:vAlign w:val="bottom"/>
            <w:tcBorders>
              <w:bottom w:val="single" w:sz="8" w:color="2B4C9B"/>
            </w:tcBorders>
          </w:tcPr>
          <w:p>
            <w:pPr>
              <w:spacing w:after="0"/>
              <w:rPr>
                <w:sz w:val="19"/>
                <w:szCs w:val="19"/>
                <w:color w:val="auto"/>
              </w:rPr>
            </w:pP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41,811</w:t>
            </w:r>
          </w:p>
        </w:tc>
      </w:tr>
      <w:tr>
        <w:trPr>
          <w:trHeight w:val="223"/>
        </w:trPr>
        <w:tc>
          <w:tcPr>
            <w:tcW w:w="7740" w:type="dxa"/>
            <w:vAlign w:val="bottom"/>
            <w:tcBorders>
              <w:bottom w:val="single" w:sz="8" w:color="2B4C9B"/>
            </w:tcBorders>
            <w:shd w:val="clear" w:color="auto" w:fill="CFF0FC"/>
          </w:tcPr>
          <w:p>
            <w:pPr>
              <w:ind w:left="700"/>
              <w:spacing w:after="0"/>
              <w:rPr>
                <w:sz w:val="20"/>
                <w:szCs w:val="20"/>
                <w:color w:val="auto"/>
              </w:rPr>
            </w:pPr>
            <w:r>
              <w:rPr>
                <w:rFonts w:ascii="Arial" w:cs="Arial" w:eastAsia="Arial" w:hAnsi="Arial"/>
                <w:sz w:val="18"/>
                <w:szCs w:val="18"/>
                <w:color w:val="auto"/>
              </w:rPr>
              <w:t>Total contributions</w:t>
            </w:r>
          </w:p>
        </w:tc>
        <w:tc>
          <w:tcPr>
            <w:tcW w:w="460" w:type="dxa"/>
            <w:vAlign w:val="bottom"/>
            <w:tcBorders>
              <w:bottom w:val="single" w:sz="8" w:color="2B4C9B"/>
            </w:tcBorders>
            <w:shd w:val="clear" w:color="auto" w:fill="CFF0FC"/>
          </w:tcPr>
          <w:p>
            <w:pPr>
              <w:spacing w:after="0"/>
              <w:rPr>
                <w:sz w:val="19"/>
                <w:szCs w:val="19"/>
                <w:color w:val="auto"/>
              </w:rPr>
            </w:pPr>
          </w:p>
        </w:tc>
        <w:tc>
          <w:tcPr>
            <w:tcW w:w="136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364,814</w:t>
            </w:r>
          </w:p>
        </w:tc>
        <w:tc>
          <w:tcPr>
            <w:tcW w:w="580" w:type="dxa"/>
            <w:vAlign w:val="bottom"/>
            <w:tcBorders>
              <w:bottom w:val="single" w:sz="8" w:color="2B4C9B"/>
            </w:tcBorders>
            <w:shd w:val="clear" w:color="auto" w:fill="CFF0FC"/>
          </w:tcPr>
          <w:p>
            <w:pPr>
              <w:spacing w:after="0"/>
              <w:rPr>
                <w:sz w:val="19"/>
                <w:szCs w:val="19"/>
                <w:color w:val="auto"/>
              </w:rPr>
            </w:pPr>
          </w:p>
        </w:tc>
        <w:tc>
          <w:tcPr>
            <w:tcW w:w="11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339,919</w:t>
            </w:r>
          </w:p>
        </w:tc>
      </w:tr>
      <w:tr>
        <w:trPr>
          <w:trHeight w:val="237"/>
        </w:trPr>
        <w:tc>
          <w:tcPr>
            <w:tcW w:w="7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DEDUCTIONS:</w:t>
            </w:r>
          </w:p>
        </w:tc>
        <w:tc>
          <w:tcPr>
            <w:tcW w:w="4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0"/>
        </w:trPr>
        <w:tc>
          <w:tcPr>
            <w:tcW w:w="7740" w:type="dxa"/>
            <w:vAlign w:val="bottom"/>
          </w:tcPr>
          <w:p>
            <w:pPr>
              <w:ind w:left="360"/>
              <w:spacing w:after="0"/>
              <w:rPr>
                <w:sz w:val="20"/>
                <w:szCs w:val="20"/>
                <w:color w:val="auto"/>
              </w:rPr>
            </w:pPr>
            <w:r>
              <w:rPr>
                <w:rFonts w:ascii="Arial" w:cs="Arial" w:eastAsia="Arial" w:hAnsi="Arial"/>
                <w:sz w:val="18"/>
                <w:szCs w:val="18"/>
                <w:color w:val="auto"/>
              </w:rPr>
              <w:t>Distributions paid to participants</w:t>
            </w:r>
          </w:p>
        </w:tc>
        <w:tc>
          <w:tcPr>
            <w:tcW w:w="46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b w:val="1"/>
                <w:bCs w:val="1"/>
                <w:color w:val="2B4C9B"/>
              </w:rPr>
              <w:t>573,201</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405,915</w:t>
            </w:r>
          </w:p>
        </w:tc>
      </w:tr>
      <w:tr>
        <w:trPr>
          <w:trHeight w:val="229"/>
        </w:trPr>
        <w:tc>
          <w:tcPr>
            <w:tcW w:w="7740" w:type="dxa"/>
            <w:vAlign w:val="bottom"/>
            <w:tcBorders>
              <w:bottom w:val="single" w:sz="8" w:color="2B4C9B"/>
            </w:tcBorders>
            <w:shd w:val="clear" w:color="auto" w:fill="CFF0FC"/>
          </w:tcPr>
          <w:p>
            <w:pPr>
              <w:ind w:left="360"/>
              <w:spacing w:after="0"/>
              <w:rPr>
                <w:sz w:val="20"/>
                <w:szCs w:val="20"/>
                <w:color w:val="auto"/>
              </w:rPr>
            </w:pPr>
            <w:r>
              <w:rPr>
                <w:rFonts w:ascii="Arial" w:cs="Arial" w:eastAsia="Arial" w:hAnsi="Arial"/>
                <w:sz w:val="18"/>
                <w:szCs w:val="18"/>
                <w:color w:val="auto"/>
              </w:rPr>
              <w:t>Administrative expenses</w:t>
            </w:r>
          </w:p>
        </w:tc>
        <w:tc>
          <w:tcPr>
            <w:tcW w:w="460" w:type="dxa"/>
            <w:vAlign w:val="bottom"/>
            <w:tcBorders>
              <w:bottom w:val="single" w:sz="8" w:color="2B4C9B"/>
            </w:tcBorders>
            <w:shd w:val="clear" w:color="auto" w:fill="CFF0FC"/>
          </w:tcPr>
          <w:p>
            <w:pPr>
              <w:spacing w:after="0"/>
              <w:rPr>
                <w:sz w:val="19"/>
                <w:szCs w:val="19"/>
                <w:color w:val="auto"/>
              </w:rPr>
            </w:pPr>
          </w:p>
        </w:tc>
        <w:tc>
          <w:tcPr>
            <w:tcW w:w="136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2,900</w:t>
            </w:r>
          </w:p>
        </w:tc>
        <w:tc>
          <w:tcPr>
            <w:tcW w:w="580" w:type="dxa"/>
            <w:vAlign w:val="bottom"/>
            <w:tcBorders>
              <w:bottom w:val="single" w:sz="8" w:color="2B4C9B"/>
            </w:tcBorders>
            <w:shd w:val="clear" w:color="auto" w:fill="CFF0FC"/>
          </w:tcPr>
          <w:p>
            <w:pPr>
              <w:spacing w:after="0"/>
              <w:rPr>
                <w:sz w:val="19"/>
                <w:szCs w:val="19"/>
                <w:color w:val="auto"/>
              </w:rPr>
            </w:pPr>
          </w:p>
        </w:tc>
        <w:tc>
          <w:tcPr>
            <w:tcW w:w="11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2,518</w:t>
            </w:r>
          </w:p>
        </w:tc>
      </w:tr>
      <w:tr>
        <w:trPr>
          <w:trHeight w:val="223"/>
        </w:trPr>
        <w:tc>
          <w:tcPr>
            <w:tcW w:w="7740" w:type="dxa"/>
            <w:vAlign w:val="bottom"/>
            <w:tcBorders>
              <w:bottom w:val="single" w:sz="8" w:color="2B4C9B"/>
            </w:tcBorders>
          </w:tcPr>
          <w:p>
            <w:pPr>
              <w:ind w:left="700"/>
              <w:spacing w:after="0"/>
              <w:rPr>
                <w:sz w:val="20"/>
                <w:szCs w:val="20"/>
                <w:color w:val="auto"/>
              </w:rPr>
            </w:pPr>
            <w:r>
              <w:rPr>
                <w:rFonts w:ascii="Arial" w:cs="Arial" w:eastAsia="Arial" w:hAnsi="Arial"/>
                <w:sz w:val="18"/>
                <w:szCs w:val="18"/>
                <w:color w:val="auto"/>
              </w:rPr>
              <w:t>Total deductions</w:t>
            </w:r>
          </w:p>
        </w:tc>
        <w:tc>
          <w:tcPr>
            <w:tcW w:w="460" w:type="dxa"/>
            <w:vAlign w:val="bottom"/>
            <w:tcBorders>
              <w:bottom w:val="single" w:sz="8" w:color="2B4C9B"/>
            </w:tcBorders>
          </w:tcPr>
          <w:p>
            <w:pPr>
              <w:spacing w:after="0"/>
              <w:rPr>
                <w:sz w:val="19"/>
                <w:szCs w:val="19"/>
                <w:color w:val="auto"/>
              </w:rPr>
            </w:pPr>
          </w:p>
        </w:tc>
        <w:tc>
          <w:tcPr>
            <w:tcW w:w="136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b w:val="1"/>
                <w:bCs w:val="1"/>
                <w:color w:val="2B4C9B"/>
              </w:rPr>
              <w:t>576,101</w:t>
            </w:r>
          </w:p>
        </w:tc>
        <w:tc>
          <w:tcPr>
            <w:tcW w:w="580" w:type="dxa"/>
            <w:vAlign w:val="bottom"/>
            <w:tcBorders>
              <w:bottom w:val="single" w:sz="8" w:color="2B4C9B"/>
            </w:tcBorders>
          </w:tcPr>
          <w:p>
            <w:pPr>
              <w:spacing w:after="0"/>
              <w:rPr>
                <w:sz w:val="19"/>
                <w:szCs w:val="19"/>
                <w:color w:val="auto"/>
              </w:rPr>
            </w:pP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408,433</w:t>
            </w:r>
          </w:p>
        </w:tc>
      </w:tr>
      <w:tr>
        <w:trPr>
          <w:trHeight w:val="236"/>
        </w:trPr>
        <w:tc>
          <w:tcPr>
            <w:tcW w:w="77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INCREASE IN NET ASSETS AVAILABLE FOR BENEFITS BEFORE TRANSFERS</w:t>
            </w:r>
          </w:p>
        </w:tc>
        <w:tc>
          <w:tcPr>
            <w:tcW w:w="46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b w:val="1"/>
                <w:bCs w:val="1"/>
                <w:color w:val="2B4C9B"/>
              </w:rPr>
              <w:t>402,378</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681,360</w:t>
            </w:r>
          </w:p>
        </w:tc>
      </w:tr>
      <w:tr>
        <w:trPr>
          <w:trHeight w:val="256"/>
        </w:trPr>
        <w:tc>
          <w:tcPr>
            <w:tcW w:w="77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774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NET TRANSFERS FROM OTHER PLAN</w:t>
            </w:r>
          </w:p>
        </w:tc>
        <w:tc>
          <w:tcPr>
            <w:tcW w:w="460" w:type="dxa"/>
            <w:vAlign w:val="bottom"/>
            <w:tcBorders>
              <w:bottom w:val="single" w:sz="8" w:color="2B4C9B"/>
            </w:tcBorders>
          </w:tcPr>
          <w:p>
            <w:pPr>
              <w:spacing w:after="0"/>
              <w:rPr>
                <w:sz w:val="19"/>
                <w:szCs w:val="19"/>
                <w:color w:val="auto"/>
              </w:rPr>
            </w:pPr>
          </w:p>
        </w:tc>
        <w:tc>
          <w:tcPr>
            <w:tcW w:w="136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b w:val="1"/>
                <w:bCs w:val="1"/>
                <w:color w:val="2B4C9B"/>
              </w:rPr>
              <w:t>3,319</w:t>
            </w:r>
          </w:p>
        </w:tc>
        <w:tc>
          <w:tcPr>
            <w:tcW w:w="580" w:type="dxa"/>
            <w:vAlign w:val="bottom"/>
            <w:tcBorders>
              <w:bottom w:val="single" w:sz="8" w:color="2B4C9B"/>
            </w:tcBorders>
          </w:tcPr>
          <w:p>
            <w:pPr>
              <w:spacing w:after="0"/>
              <w:rPr>
                <w:sz w:val="19"/>
                <w:szCs w:val="19"/>
                <w:color w:val="auto"/>
              </w:rPr>
            </w:pP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INCREASE IN NET ASSETS AVAILABLE FOR BENEFITS</w:t>
            </w:r>
          </w:p>
        </w:tc>
        <w:tc>
          <w:tcPr>
            <w:tcW w:w="46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b w:val="1"/>
                <w:bCs w:val="1"/>
                <w:color w:val="2B4C9B"/>
              </w:rPr>
              <w:t>405,697</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681,360</w:t>
            </w:r>
          </w:p>
        </w:tc>
      </w:tr>
      <w:tr>
        <w:trPr>
          <w:trHeight w:val="257"/>
        </w:trPr>
        <w:tc>
          <w:tcPr>
            <w:tcW w:w="77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NET ASSETS AVAILABLE FOR BENEFITS:</w:t>
            </w: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740" w:type="dxa"/>
            <w:vAlign w:val="bottom"/>
            <w:tcBorders>
              <w:bottom w:val="single" w:sz="8" w:color="2B4C9B"/>
            </w:tcBorders>
            <w:shd w:val="clear" w:color="auto" w:fill="CCEEFF"/>
          </w:tcPr>
          <w:p>
            <w:pPr>
              <w:ind w:left="360"/>
              <w:spacing w:after="0"/>
              <w:rPr>
                <w:sz w:val="20"/>
                <w:szCs w:val="20"/>
                <w:color w:val="auto"/>
              </w:rPr>
            </w:pPr>
            <w:r>
              <w:rPr>
                <w:rFonts w:ascii="Arial" w:cs="Arial" w:eastAsia="Arial" w:hAnsi="Arial"/>
                <w:sz w:val="18"/>
                <w:szCs w:val="18"/>
                <w:color w:val="auto"/>
              </w:rPr>
              <w:t>Beginning of year</w:t>
            </w:r>
          </w:p>
        </w:tc>
        <w:tc>
          <w:tcPr>
            <w:tcW w:w="460" w:type="dxa"/>
            <w:vAlign w:val="bottom"/>
            <w:tcBorders>
              <w:bottom w:val="single" w:sz="8" w:color="2B4C9B"/>
            </w:tcBorders>
            <w:shd w:val="clear" w:color="auto" w:fill="CCEEFF"/>
          </w:tcPr>
          <w:p>
            <w:pPr>
              <w:spacing w:after="0"/>
              <w:rPr>
                <w:sz w:val="19"/>
                <w:szCs w:val="19"/>
                <w:color w:val="auto"/>
              </w:rPr>
            </w:pPr>
          </w:p>
        </w:tc>
        <w:tc>
          <w:tcPr>
            <w:tcW w:w="1360" w:type="dxa"/>
            <w:vAlign w:val="bottom"/>
            <w:tcBorders>
              <w:bottom w:val="single" w:sz="8" w:color="2B4C9B"/>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2B4C9B"/>
              </w:rPr>
              <w:t>5,014,854</w:t>
            </w:r>
          </w:p>
        </w:tc>
        <w:tc>
          <w:tcPr>
            <w:tcW w:w="580" w:type="dxa"/>
            <w:vAlign w:val="bottom"/>
            <w:tcBorders>
              <w:bottom w:val="single" w:sz="8" w:color="2B4C9B"/>
            </w:tcBorders>
            <w:shd w:val="clear" w:color="auto" w:fill="CCEEFF"/>
          </w:tcPr>
          <w:p>
            <w:pPr>
              <w:spacing w:after="0"/>
              <w:rPr>
                <w:sz w:val="19"/>
                <w:szCs w:val="19"/>
                <w:color w:val="auto"/>
              </w:rPr>
            </w:pPr>
          </w:p>
        </w:tc>
        <w:tc>
          <w:tcPr>
            <w:tcW w:w="1100" w:type="dxa"/>
            <w:vAlign w:val="bottom"/>
            <w:tcBorders>
              <w:bottom w:val="single" w:sz="8" w:color="2B4C9B"/>
            </w:tcBorders>
            <w:shd w:val="clear" w:color="auto" w:fill="CCEEFF"/>
          </w:tcPr>
          <w:p>
            <w:pPr>
              <w:jc w:val="right"/>
              <w:spacing w:after="0"/>
              <w:rPr>
                <w:sz w:val="20"/>
                <w:szCs w:val="20"/>
                <w:color w:val="auto"/>
              </w:rPr>
            </w:pPr>
            <w:r>
              <w:rPr>
                <w:rFonts w:ascii="Arial" w:cs="Arial" w:eastAsia="Arial" w:hAnsi="Arial"/>
                <w:sz w:val="18"/>
                <w:szCs w:val="18"/>
                <w:color w:val="auto"/>
              </w:rPr>
              <w:t>4,333,494</w:t>
            </w:r>
          </w:p>
        </w:tc>
      </w:tr>
      <w:tr>
        <w:trPr>
          <w:trHeight w:val="230"/>
        </w:trPr>
        <w:tc>
          <w:tcPr>
            <w:tcW w:w="7740" w:type="dxa"/>
            <w:vAlign w:val="bottom"/>
            <w:tcBorders>
              <w:bottom w:val="single" w:sz="8" w:color="2B4C9B"/>
            </w:tcBorders>
          </w:tcPr>
          <w:p>
            <w:pPr>
              <w:ind w:left="360"/>
              <w:spacing w:after="0"/>
              <w:rPr>
                <w:sz w:val="20"/>
                <w:szCs w:val="20"/>
                <w:color w:val="auto"/>
              </w:rPr>
            </w:pPr>
            <w:r>
              <w:rPr>
                <w:rFonts w:ascii="Arial" w:cs="Arial" w:eastAsia="Arial" w:hAnsi="Arial"/>
                <w:sz w:val="18"/>
                <w:szCs w:val="18"/>
                <w:color w:val="auto"/>
              </w:rPr>
              <w:t>End of year</w:t>
            </w:r>
          </w:p>
        </w:tc>
        <w:tc>
          <w:tcPr>
            <w:tcW w:w="460" w:type="dxa"/>
            <w:vAlign w:val="bottom"/>
            <w:tcBorders>
              <w:bottom w:val="single" w:sz="8" w:color="2B4C9B"/>
            </w:tcBorders>
          </w:tcPr>
          <w:p>
            <w:pPr>
              <w:jc w:val="right"/>
              <w:ind w:right="250"/>
              <w:spacing w:after="0"/>
              <w:rPr>
                <w:sz w:val="20"/>
                <w:szCs w:val="20"/>
                <w:color w:val="auto"/>
              </w:rPr>
            </w:pPr>
            <w:r>
              <w:rPr>
                <w:rFonts w:ascii="Arial" w:cs="Arial" w:eastAsia="Arial" w:hAnsi="Arial"/>
                <w:sz w:val="18"/>
                <w:szCs w:val="18"/>
                <w:b w:val="1"/>
                <w:bCs w:val="1"/>
                <w:color w:val="2B4C9B"/>
                <w:w w:val="99"/>
              </w:rPr>
              <w:t>$</w:t>
            </w:r>
          </w:p>
        </w:tc>
        <w:tc>
          <w:tcPr>
            <w:tcW w:w="136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b w:val="1"/>
                <w:bCs w:val="1"/>
                <w:color w:val="2B4C9B"/>
              </w:rPr>
              <w:t>5,420,551</w:t>
            </w:r>
          </w:p>
        </w:tc>
        <w:tc>
          <w:tcPr>
            <w:tcW w:w="580" w:type="dxa"/>
            <w:vAlign w:val="bottom"/>
            <w:tcBorders>
              <w:bottom w:val="single" w:sz="8" w:color="2B4C9B"/>
            </w:tcBorders>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5,014,854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- 3 -</w:t>
      </w:r>
    </w:p>
    <w:p>
      <w:pPr>
        <w:sectPr>
          <w:pgSz w:w="11900" w:h="16838" w:orient="portrait"/>
          <w:cols w:equalWidth="0" w:num="1">
            <w:col w:w="11240"/>
          </w:cols>
          <w:pgMar w:left="320" w:top="12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December 31, 2024 and 2023</w:t>
      </w:r>
    </w:p>
    <w:p>
      <w:pPr>
        <w:spacing w:after="0" w:line="200" w:lineRule="exact"/>
        <w:rPr>
          <w:sz w:val="20"/>
          <w:szCs w:val="20"/>
          <w:color w:val="auto"/>
        </w:rPr>
      </w:pPr>
    </w:p>
    <w:p>
      <w:pPr>
        <w:spacing w:after="0" w:line="277"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2B4C9B"/>
        </w:rPr>
      </w:pPr>
      <w:r>
        <w:rPr>
          <w:rFonts w:ascii="Arial" w:cs="Arial" w:eastAsia="Arial" w:hAnsi="Arial"/>
          <w:sz w:val="18"/>
          <w:szCs w:val="18"/>
          <w:b w:val="1"/>
          <w:bCs w:val="1"/>
          <w:color w:val="2B4C9B"/>
        </w:rPr>
        <w:t>DESCRIPTION OF THE PLAN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brief description of the Science Applications International Corporation Retirement Plan (the “Plan”) is for general information purposes only. Participants should refer to the Plan document for complete information regarding the Plan. Within these financial statements, Science Applications International Corporation ("SAIC" or "Employer" or the “Company”) refers to the sponsoring employer.</w:t>
      </w:r>
    </w:p>
    <w:p>
      <w:pPr>
        <w:spacing w:after="0" w:line="144"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General</w:t>
      </w:r>
      <w:r>
        <w:rPr>
          <w:rFonts w:ascii="Arial" w:cs="Arial" w:eastAsia="Arial" w:hAnsi="Arial"/>
          <w:sz w:val="18"/>
          <w:szCs w:val="18"/>
          <w:color w:val="000000"/>
        </w:rPr>
        <w:t>—The Plan is a defined contribution plan sponsored by the Company and is subject to the provisions of the Employee</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Retirement Income Security Act of 1974, as amended (“ERISA”). The Plan is a 401(k) plan with profit-sharing and employee stock ownership plan (“ESOP”) features. Both participant and Employer contributions to the Plan are held in a qualified retirement trust fund. The Science Applications International Corporation Benefit Plans Committee is the Plan’s named fiduciary for purposes of Section 402(a) of ERISA.</w:t>
      </w:r>
    </w:p>
    <w:p>
      <w:pPr>
        <w:spacing w:after="0" w:line="139" w:lineRule="exact"/>
        <w:rPr>
          <w:sz w:val="20"/>
          <w:szCs w:val="20"/>
          <w:color w:val="auto"/>
        </w:rPr>
      </w:pPr>
    </w:p>
    <w:p>
      <w:pPr>
        <w:jc w:val="both"/>
        <w:ind w:left="460"/>
        <w:spacing w:after="0" w:line="262" w:lineRule="auto"/>
        <w:rPr>
          <w:sz w:val="20"/>
          <w:szCs w:val="20"/>
          <w:color w:val="auto"/>
        </w:rPr>
      </w:pPr>
      <w:r>
        <w:rPr>
          <w:rFonts w:ascii="Arial" w:cs="Arial" w:eastAsia="Arial" w:hAnsi="Arial"/>
          <w:sz w:val="18"/>
          <w:szCs w:val="18"/>
          <w:b w:val="1"/>
          <w:bCs w:val="1"/>
          <w:i w:val="1"/>
          <w:iCs w:val="1"/>
          <w:color w:val="2B4C9B"/>
        </w:rPr>
        <w:t>Eligibility</w:t>
      </w:r>
      <w:r>
        <w:rPr>
          <w:rFonts w:ascii="Arial" w:cs="Arial" w:eastAsia="Arial" w:hAnsi="Arial"/>
          <w:sz w:val="18"/>
          <w:szCs w:val="18"/>
          <w:color w:val="000000"/>
        </w:rPr>
        <w:t>— All employees of the Company, other than those in the ineligible classes outlined in the Plan document, are eligible to</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participate in the Plan. Employees must be in an eligible fringe benefit package to be eligible to receive Company matching 401(k) contributions. Generally, employees may make elective contributions and receive Company matching 401(k) contributions upon commencing employment.</w:t>
      </w:r>
    </w:p>
    <w:p>
      <w:pPr>
        <w:spacing w:after="0" w:line="13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Participant Contributions</w:t>
      </w:r>
      <w:r>
        <w:rPr>
          <w:rFonts w:ascii="Arial" w:cs="Arial" w:eastAsia="Arial" w:hAnsi="Arial"/>
          <w:sz w:val="18"/>
          <w:szCs w:val="18"/>
          <w:color w:val="000000"/>
        </w:rPr>
        <w:t>—The Plan permits participants to contribute up to 75% of their eligible compensation to the Plan, subject to</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statutory limitations. Participants may also contribute amounts representing rollovers from other qualified plans. Participant contributions are invested according to participant direction into any of the available investment funds of the Plan. Participant contributions and rollovers to the SAIC Common Stock Fund are limited to a maximum of 50% of the participant deferral or rollover, as applicable.</w:t>
      </w:r>
    </w:p>
    <w:p>
      <w:pPr>
        <w:spacing w:after="0" w:line="152"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Employer Contributions</w:t>
      </w:r>
      <w:r>
        <w:rPr>
          <w:rFonts w:ascii="Arial" w:cs="Arial" w:eastAsia="Arial" w:hAnsi="Arial"/>
          <w:sz w:val="18"/>
          <w:szCs w:val="18"/>
          <w:color w:val="000000"/>
        </w:rPr>
        <w:t>—The Company may make matching 401(k) contributions. Eligible participants may receive Company</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matching 401(k) contributions based on a percentage (up to a maximum match percentage of 4%), depending on the fringe benefit package, which are invested per participant direction. The Company, at its discretion, may also make additional contributions to the Plan for the benefit of non-highly compensated participants in order to comply with Section 401(k)(3) of the Internal Revenue Code ("IRC"); however, the Company made no such additional contributions for the Plan years ended December 31, 2024 and 2023.</w:t>
      </w:r>
    </w:p>
    <w:p>
      <w:pPr>
        <w:spacing w:after="0" w:line="139"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Participant Accounts</w:t>
      </w:r>
      <w:r>
        <w:rPr>
          <w:rFonts w:ascii="Arial" w:cs="Arial" w:eastAsia="Arial" w:hAnsi="Arial"/>
          <w:sz w:val="18"/>
          <w:szCs w:val="18"/>
          <w:color w:val="000000"/>
        </w:rPr>
        <w:t>—In accordance with Plan provisions, individual accounts are maintained for each Plan participant. Each</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participant’s account is credited with the participant’s contributions, and if eligible, Company contributions, which are based on participant eligible compensation, as defined in the Plan document. Participant accounts also reflect changes from investment income and losses, distributions, and an allocation of a portion of administrative expenses. The benefit to which a participant is entitled is the vested balance of his or her account.</w:t>
      </w:r>
    </w:p>
    <w:p>
      <w:pPr>
        <w:spacing w:after="0" w:line="139"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Investment Funds</w:t>
      </w:r>
      <w:r>
        <w:rPr>
          <w:rFonts w:ascii="Arial" w:cs="Arial" w:eastAsia="Arial" w:hAnsi="Arial"/>
          <w:sz w:val="18"/>
          <w:szCs w:val="18"/>
          <w:color w:val="000000"/>
        </w:rPr>
        <w:t>—As of December 31, 2024 and December 31, 2023, the Plan held investments in 7 mutual funds, 21 collective</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trust funds, a self-directed brokerage fund, and 2 Company stock funds: the SAIC Common Stock Fund and the SAIC Closed Stock Fund (collectively, the “Stock Funds”). All amounts in the Stock Funds are invested in Science Applications International Corporation common stock, except for estimated cash reserves, which are invested in the Vanguard Federal Money Market Fund and are primarily used to provide future benefit distributions and facilitate investment exchanges.</w:t>
      </w:r>
    </w:p>
    <w:p>
      <w:pPr>
        <w:spacing w:after="0" w:line="152"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Plan Amendments and Termination</w:t>
      </w:r>
      <w:r>
        <w:rPr>
          <w:rFonts w:ascii="Arial" w:cs="Arial" w:eastAsia="Arial" w:hAnsi="Arial"/>
          <w:sz w:val="18"/>
          <w:szCs w:val="18"/>
          <w:color w:val="000000"/>
        </w:rPr>
        <w:t>—On December 14, 2023, the Plan was amended to reflect the merger of the Koverse, Inc.</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401(k) Plan with and into the Plan, which was effective March 1, 2024. This is in connection with the Company's acquisition of Koverse, Inc. during the year ended December 31, 2021. Undistributed participant account balances totaling approximately $3,319,000 were transferred into the Plan. Certain other provisions were adopted to align Plan terms with prior operation regarding certain employees who received matching contributions in 2021 and 2022.</w:t>
      </w:r>
    </w:p>
    <w:p>
      <w:pPr>
        <w:spacing w:after="0" w:line="139" w:lineRule="exact"/>
        <w:rPr>
          <w:sz w:val="20"/>
          <w:szCs w:val="20"/>
          <w:color w:val="auto"/>
        </w:rPr>
      </w:pPr>
    </w:p>
    <w:p>
      <w:pPr>
        <w:jc w:val="both"/>
        <w:ind w:left="460"/>
        <w:spacing w:after="0" w:line="287" w:lineRule="auto"/>
        <w:rPr>
          <w:sz w:val="20"/>
          <w:szCs w:val="20"/>
          <w:color w:val="auto"/>
        </w:rPr>
      </w:pPr>
      <w:r>
        <w:rPr>
          <w:rFonts w:ascii="Arial" w:cs="Arial" w:eastAsia="Arial" w:hAnsi="Arial"/>
          <w:sz w:val="18"/>
          <w:szCs w:val="18"/>
          <w:color w:val="auto"/>
        </w:rPr>
        <w:t>Effective December 30, 2024, the Plan was amended to reflect certain provisions of the SECURE 2.0 Act of 2022 as well as certain other discretionary amendments.</w:t>
      </w:r>
    </w:p>
    <w:p>
      <w:pPr>
        <w:spacing w:after="0" w:line="112" w:lineRule="exact"/>
        <w:rPr>
          <w:sz w:val="20"/>
          <w:szCs w:val="20"/>
          <w:color w:val="auto"/>
        </w:rPr>
      </w:pPr>
    </w:p>
    <w:p>
      <w:pPr>
        <w:jc w:val="both"/>
        <w:ind w:left="460"/>
        <w:spacing w:after="0" w:line="287" w:lineRule="auto"/>
        <w:rPr>
          <w:sz w:val="20"/>
          <w:szCs w:val="20"/>
          <w:color w:val="auto"/>
        </w:rPr>
      </w:pPr>
      <w:r>
        <w:rPr>
          <w:rFonts w:ascii="Arial" w:cs="Arial" w:eastAsia="Arial" w:hAnsi="Arial"/>
          <w:sz w:val="18"/>
          <w:szCs w:val="18"/>
          <w:color w:val="auto"/>
        </w:rPr>
        <w:t>Although it has not expressed any intent to do so, the Company has the right under the Plan to discontinue its contributions and to terminate the Plan at any time subject to the provisions of ERISA.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- 4 -</w:t>
      </w:r>
    </w:p>
    <w:p>
      <w:pPr>
        <w:sectPr>
          <w:pgSz w:w="11900" w:h="16838" w:orient="portrait"/>
          <w:cols w:equalWidth="0" w:num="1">
            <w:col w:w="11240"/>
          </w:cols>
          <w:pgMar w:left="320" w:top="121" w:right="339" w:bottom="1440" w:gutter="0" w:footer="0" w:header="0"/>
        </w:sectPr>
      </w:pPr>
    </w:p>
    <w:bookmarkStart w:id="6" w:name="page7"/>
    <w:bookmarkEnd w:id="6"/>
    <w:p>
      <w:pPr>
        <w:jc w:val="center"/>
        <w:ind w:right="440"/>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26"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2B4C9B"/>
        </w:rPr>
        <w:t>NOTES TO FINANCIAL STATEMENTS</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2B4C9B"/>
        </w:rPr>
        <w:t>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2B4C9B"/>
        </w:rPr>
        <w:t>Vesting and Forfeitures</w:t>
      </w:r>
      <w:r>
        <w:rPr>
          <w:rFonts w:ascii="Arial" w:cs="Arial" w:eastAsia="Arial" w:hAnsi="Arial"/>
          <w:sz w:val="18"/>
          <w:szCs w:val="18"/>
          <w:color w:val="000000"/>
        </w:rPr>
        <w:t>—Participants’ elective deferrals, rollover contributions and Employer contributions together with associated</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earnings or losses vest immediately. Unvested balances from other plans merged into the Plan in prior years continue to vest according to their original vesting schedules. Forfeitures are used to offset Employer contributions or certain eligible Plan expenses. During the year ended December 31, 2024, forfeitures were used to offset Employer contributions in the amount of approximately $ 1,347,000 and to pay administrative expenses of approximately $70,000. During the year ended December 31 2023, forfeitures were used to offset Employer contributions in the amount of approximately $1,133,000 and to pay administrative expenses of approximately $12,000. Forfeitures available for future use amounted to approximately $123,000 and $66,000 as of December 31, 2024 and 2023, respectively.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2B4C9B"/>
        </w:rPr>
        <w:t>Notes Receivable from Participants</w:t>
      </w:r>
      <w:r>
        <w:rPr>
          <w:rFonts w:ascii="Arial" w:cs="Arial" w:eastAsia="Arial" w:hAnsi="Arial"/>
          <w:sz w:val="18"/>
          <w:szCs w:val="18"/>
          <w:color w:val="000000"/>
        </w:rPr>
        <w:t>—Participants may borrow up to 50% of their vested account balance, up to a maximum of</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$50,000 with a maximum of one outstanding loan per participant. Loan repayment periods may not exceed 60 months except for loans used to acquire a principal residence, in which case the repayment period may not exceed 30 years. The loans bear interest at a rate commensurate with local prevailing rates as determined monthly by the Plan administrator. Principal and interest are collected ratably through payroll deductions.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2B4C9B"/>
        </w:rPr>
        <w:t>Distributions to Participants</w:t>
      </w:r>
      <w:r>
        <w:rPr>
          <w:rFonts w:ascii="Arial" w:cs="Arial" w:eastAsia="Arial" w:hAnsi="Arial"/>
          <w:sz w:val="18"/>
          <w:szCs w:val="18"/>
          <w:color w:val="000000"/>
        </w:rPr>
        <w:t>—For vested account balances less than $1,000, participants receive their vested account balance in a</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single lump sum following termination of employment with the Company. For vested account balances between $1,000 and $7,000, a participant’s vested account balance is automatically rolled over into an Individual Retirement Account following termination. For vested account balances that exceed $7,000, balances are not distributed unless the participant elects to take a distribution following the participant’s termination of employment with the Company. Regardless of the existing account balance, distributions are made when participants die or become permanently disabled while employed by the Company. After attaining the age of 59-1/2, a participant may make withdrawals even if still employed by the Company. Participants may make withdrawals from the Plan prior to attaining the age of 59-1/2 from their rollover account or if the participant incurs a financial hardship, as specified by the Plan document. Former employees, regardless of their age, may elect to receive up to two distributions in any given Plan year, of all or a portion of their account balance.</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2B4C9B"/>
        </w:rPr>
        <w:t>Tax Status</w:t>
      </w:r>
      <w:r>
        <w:rPr>
          <w:rFonts w:ascii="Arial" w:cs="Arial" w:eastAsia="Arial" w:hAnsi="Arial"/>
          <w:sz w:val="18"/>
          <w:szCs w:val="18"/>
          <w:color w:val="000000"/>
        </w:rPr>
        <w:t>—The Internal Revenue Service (“IRS”) has determined and informed the Company by a letter dated February 28, 2014,</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that the Plan was designed in accordance with the applicable requirements of the IRC. Although the Plan has been amended since receiving the determination letter, the Company believes that the Plan is designed, and is currently being operated, in compliance with the applicable requirements of the IRC and, therefore, believes that the Plan is qualified, and the related trust is tax-exempt. Accordingly, no provision for income taxes has been included in the Plan’s financial statements. Management recognizes tax liabilities for uncertainty in income taxes when it is more likely than not that a tax position would not be sustained upon examination by and settlement with the IRS. As of December 31, 2024 and 2023, there are no uncertain positions taken or expected to be taken that would require recognition of a liability or disclosure in the financial statements.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2B4C9B"/>
        </w:rPr>
        <w:t>Related-Party Transactions</w:t>
      </w:r>
      <w:r>
        <w:rPr>
          <w:rFonts w:ascii="Arial" w:cs="Arial" w:eastAsia="Arial" w:hAnsi="Arial"/>
          <w:sz w:val="18"/>
          <w:szCs w:val="18"/>
          <w:color w:val="000000"/>
        </w:rPr>
        <w:t>—Certain Plan investments are managed by The Vanguard Group ("Vanguard") or an affiliate thereof.</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Vanguard is also the Plan’s record-keeper; therefore, transactions with these investments qualify as party-in-interest transactions. Members of the Science Applications International Corporation Benefit Plans Committee also participate in the Plan and qualify as parties-in-interest. Notes receivable from participants also qualify as party-in-interest transactions.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SAIC is the sponsoring employer as of December 31, 2024 and 2023. The value of SAIC shares held by the Plan in the Stock Funds was approximately $108,969,000 and $127,903,000 as of December 31, 2024 and 2023, respectively. For the years ended December 31, 2024 and 2023, the Stock Funds earned dividends of approximately $1,491,000 and $1,559,000. There was a depreciation in value by approximately $12,662,000 and an appreciation in value by approximately $13,607,000 as of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2B4C9B"/>
        </w:rPr>
        <w:t>- 5 -</w:t>
      </w:r>
    </w:p>
    <w:p>
      <w:pPr>
        <w:sectPr>
          <w:pgSz w:w="11900" w:h="16838" w:orient="portrait"/>
          <w:cols w:equalWidth="0" w:num="1">
            <w:col w:w="10780"/>
          </w:cols>
          <w:pgMar w:left="78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2B4C9B"/>
        </w:rPr>
      </w:pPr>
      <w:r>
        <w:rPr>
          <w:rFonts w:ascii="Arial" w:cs="Arial" w:eastAsia="Arial" w:hAnsi="Arial"/>
          <w:sz w:val="18"/>
          <w:szCs w:val="18"/>
          <w:b w:val="1"/>
          <w:bCs w:val="1"/>
          <w:color w:val="2B4C9B"/>
        </w:rPr>
        <w:t>SIGNIFICANT ACCOUNTING POLICIES</w:t>
      </w:r>
    </w:p>
    <w:p>
      <w:pPr>
        <w:spacing w:after="0" w:line="252" w:lineRule="exact"/>
        <w:rPr>
          <w:sz w:val="20"/>
          <w:szCs w:val="20"/>
          <w:color w:val="auto"/>
        </w:rPr>
      </w:pPr>
    </w:p>
    <w:p>
      <w:pPr>
        <w:jc w:val="both"/>
        <w:ind w:left="460"/>
        <w:spacing w:after="0" w:line="287" w:lineRule="auto"/>
        <w:rPr>
          <w:sz w:val="20"/>
          <w:szCs w:val="20"/>
          <w:color w:val="auto"/>
        </w:rPr>
      </w:pPr>
      <w:r>
        <w:rPr>
          <w:rFonts w:ascii="Arial" w:cs="Arial" w:eastAsia="Arial" w:hAnsi="Arial"/>
          <w:sz w:val="18"/>
          <w:szCs w:val="18"/>
          <w:b w:val="1"/>
          <w:bCs w:val="1"/>
          <w:i w:val="1"/>
          <w:iCs w:val="1"/>
          <w:color w:val="2B4C9B"/>
        </w:rPr>
        <w:t>Basis of Accounting</w:t>
      </w:r>
      <w:r>
        <w:rPr>
          <w:rFonts w:ascii="Arial" w:cs="Arial" w:eastAsia="Arial" w:hAnsi="Arial"/>
          <w:sz w:val="18"/>
          <w:szCs w:val="18"/>
          <w:color w:val="000000"/>
        </w:rPr>
        <w:t>—The Plan’s financial statements are prepared in accordance with accounting principles generally accepted in</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the United States of America (“GAAP”).</w:t>
      </w:r>
    </w:p>
    <w:p>
      <w:pPr>
        <w:spacing w:after="0" w:line="180" w:lineRule="exact"/>
        <w:rPr>
          <w:sz w:val="20"/>
          <w:szCs w:val="20"/>
          <w:color w:val="auto"/>
        </w:rPr>
      </w:pPr>
    </w:p>
    <w:p>
      <w:pPr>
        <w:jc w:val="both"/>
        <w:ind w:left="460"/>
        <w:spacing w:after="0" w:line="262" w:lineRule="auto"/>
        <w:rPr>
          <w:sz w:val="20"/>
          <w:szCs w:val="20"/>
          <w:color w:val="auto"/>
        </w:rPr>
      </w:pPr>
      <w:r>
        <w:rPr>
          <w:rFonts w:ascii="Arial" w:cs="Arial" w:eastAsia="Arial" w:hAnsi="Arial"/>
          <w:sz w:val="18"/>
          <w:szCs w:val="18"/>
          <w:b w:val="1"/>
          <w:bCs w:val="1"/>
          <w:i w:val="1"/>
          <w:iCs w:val="1"/>
          <w:color w:val="2B4C9B"/>
        </w:rPr>
        <w:t>Use of Estimates</w:t>
      </w:r>
      <w:r>
        <w:rPr>
          <w:rFonts w:ascii="Arial" w:cs="Arial" w:eastAsia="Arial" w:hAnsi="Arial"/>
          <w:sz w:val="18"/>
          <w:szCs w:val="18"/>
          <w:color w:val="000000"/>
        </w:rPr>
        <w:t>—The preparation of financial statements in conformity with GAAP requires management to make estimates and</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assumptions that affect the reported amounts of assets and liabilities and disclosures of contingent assets and liabilities at the date of the financial statements, and the reported amounts of additions and deductions during the reporting periods. Actual results may differ from those estimates.</w:t>
      </w:r>
    </w:p>
    <w:p>
      <w:pPr>
        <w:spacing w:after="0" w:line="203" w:lineRule="exact"/>
        <w:rPr>
          <w:sz w:val="20"/>
          <w:szCs w:val="20"/>
          <w:color w:val="auto"/>
        </w:rPr>
      </w:pPr>
    </w:p>
    <w:p>
      <w:pPr>
        <w:jc w:val="both"/>
        <w:ind w:left="460"/>
        <w:spacing w:after="0" w:line="287" w:lineRule="auto"/>
        <w:rPr>
          <w:sz w:val="20"/>
          <w:szCs w:val="20"/>
          <w:color w:val="auto"/>
        </w:rPr>
      </w:pPr>
      <w:r>
        <w:rPr>
          <w:rFonts w:ascii="Arial" w:cs="Arial" w:eastAsia="Arial" w:hAnsi="Arial"/>
          <w:sz w:val="18"/>
          <w:szCs w:val="18"/>
          <w:b w:val="1"/>
          <w:bCs w:val="1"/>
          <w:i w:val="1"/>
          <w:iCs w:val="1"/>
          <w:color w:val="2B4C9B"/>
        </w:rPr>
        <w:t>Investment Valuation and Income Recognition</w:t>
      </w:r>
      <w:r>
        <w:rPr>
          <w:rFonts w:ascii="Arial" w:cs="Arial" w:eastAsia="Arial" w:hAnsi="Arial"/>
          <w:sz w:val="18"/>
          <w:szCs w:val="18"/>
          <w:color w:val="000000"/>
        </w:rPr>
        <w:t>—Investments held by the Plan are carried at fair value. There have been no changes</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in investment valuation methodologies. Valuation and income recognition policies are as follows:</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Investment in Mutual Funds</w:t>
      </w:r>
      <w:r>
        <w:rPr>
          <w:rFonts w:ascii="Arial" w:cs="Arial" w:eastAsia="Arial" w:hAnsi="Arial"/>
          <w:sz w:val="18"/>
          <w:szCs w:val="18"/>
          <w:color w:val="auto"/>
        </w:rPr>
        <w:t>—The Plan’s investments in mutual funds are stated at fair value based on quoted market prices.</w:t>
      </w:r>
    </w:p>
    <w:p>
      <w:pPr>
        <w:spacing w:after="0" w:line="252" w:lineRule="exact"/>
        <w:rPr>
          <w:sz w:val="20"/>
          <w:szCs w:val="20"/>
          <w:color w:val="auto"/>
        </w:rPr>
      </w:pPr>
    </w:p>
    <w:p>
      <w:pPr>
        <w:jc w:val="both"/>
        <w:ind w:left="900"/>
        <w:spacing w:after="0" w:line="268" w:lineRule="auto"/>
        <w:rPr>
          <w:sz w:val="20"/>
          <w:szCs w:val="20"/>
          <w:color w:val="auto"/>
        </w:rPr>
      </w:pPr>
      <w:r>
        <w:rPr>
          <w:rFonts w:ascii="Arial" w:cs="Arial" w:eastAsia="Arial" w:hAnsi="Arial"/>
          <w:sz w:val="18"/>
          <w:szCs w:val="18"/>
          <w:i w:val="1"/>
          <w:iCs w:val="1"/>
          <w:color w:val="auto"/>
        </w:rPr>
        <w:t>Investment in Common Stock</w:t>
      </w:r>
      <w:r>
        <w:rPr>
          <w:rFonts w:ascii="Arial" w:cs="Arial" w:eastAsia="Arial" w:hAnsi="Arial"/>
          <w:sz w:val="18"/>
          <w:szCs w:val="18"/>
          <w:color w:val="auto"/>
        </w:rPr>
        <w:t>—Investments in shares of SAIC common stock are recorded at their last quoted market price on</w:t>
      </w:r>
      <w:r>
        <w:rPr>
          <w:rFonts w:ascii="Arial" w:cs="Arial" w:eastAsia="Arial" w:hAnsi="Arial"/>
          <w:sz w:val="18"/>
          <w:szCs w:val="18"/>
          <w:i w:val="1"/>
          <w:iCs w:val="1"/>
          <w:color w:val="auto"/>
        </w:rPr>
        <w:t xml:space="preserve"> </w:t>
      </w:r>
      <w:r>
        <w:rPr>
          <w:rFonts w:ascii="Arial" w:cs="Arial" w:eastAsia="Arial" w:hAnsi="Arial"/>
          <w:sz w:val="18"/>
          <w:szCs w:val="18"/>
          <w:color w:val="auto"/>
        </w:rPr>
        <w:t>the last business day of the respective plan year. SAIC shares were publicly traded on the New York Stock Exchange through the year ended December 31, 2023, subsequently moving to the NASDAQ in March 2024.</w:t>
      </w:r>
    </w:p>
    <w:p>
      <w:pPr>
        <w:spacing w:after="0" w:line="198" w:lineRule="exact"/>
        <w:rPr>
          <w:sz w:val="20"/>
          <w:szCs w:val="20"/>
          <w:color w:val="auto"/>
        </w:rPr>
      </w:pPr>
    </w:p>
    <w:p>
      <w:pPr>
        <w:jc w:val="both"/>
        <w:ind w:left="900"/>
        <w:spacing w:after="0" w:line="287" w:lineRule="auto"/>
        <w:rPr>
          <w:sz w:val="20"/>
          <w:szCs w:val="20"/>
          <w:color w:val="auto"/>
        </w:rPr>
      </w:pPr>
      <w:r>
        <w:rPr>
          <w:rFonts w:ascii="Arial" w:cs="Arial" w:eastAsia="Arial" w:hAnsi="Arial"/>
          <w:sz w:val="18"/>
          <w:szCs w:val="18"/>
          <w:i w:val="1"/>
          <w:iCs w:val="1"/>
          <w:color w:val="auto"/>
        </w:rPr>
        <w:t>Self-Directed Brokerage Fund</w:t>
      </w:r>
      <w:r>
        <w:rPr>
          <w:rFonts w:ascii="Arial" w:cs="Arial" w:eastAsia="Arial" w:hAnsi="Arial"/>
          <w:sz w:val="18"/>
          <w:szCs w:val="18"/>
          <w:color w:val="auto"/>
        </w:rPr>
        <w:t>—The Plan’s investments in the self-directed brokerage fund are stated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quoted market prices.</w:t>
      </w:r>
    </w:p>
    <w:p>
      <w:pPr>
        <w:spacing w:after="0" w:line="180" w:lineRule="exact"/>
        <w:rPr>
          <w:sz w:val="20"/>
          <w:szCs w:val="20"/>
          <w:color w:val="auto"/>
        </w:rPr>
      </w:pPr>
    </w:p>
    <w:p>
      <w:pPr>
        <w:jc w:val="both"/>
        <w:ind w:left="900"/>
        <w:spacing w:after="0" w:line="287" w:lineRule="auto"/>
        <w:rPr>
          <w:sz w:val="20"/>
          <w:szCs w:val="20"/>
          <w:color w:val="auto"/>
        </w:rPr>
      </w:pPr>
      <w:r>
        <w:rPr>
          <w:rFonts w:ascii="Arial" w:cs="Arial" w:eastAsia="Arial" w:hAnsi="Arial"/>
          <w:sz w:val="18"/>
          <w:szCs w:val="18"/>
          <w:i w:val="1"/>
          <w:iCs w:val="1"/>
          <w:color w:val="auto"/>
        </w:rPr>
        <w:t>Investment in Collective Trusts</w:t>
      </w:r>
      <w:r>
        <w:rPr>
          <w:rFonts w:ascii="Arial" w:cs="Arial" w:eastAsia="Arial" w:hAnsi="Arial"/>
          <w:sz w:val="18"/>
          <w:szCs w:val="18"/>
          <w:color w:val="auto"/>
        </w:rPr>
        <w:t>—The Plan's investments in collective trusts are carried at net asset value (“NAV”) per unit as a</w:t>
      </w:r>
      <w:r>
        <w:rPr>
          <w:rFonts w:ascii="Arial" w:cs="Arial" w:eastAsia="Arial" w:hAnsi="Arial"/>
          <w:sz w:val="18"/>
          <w:szCs w:val="18"/>
          <w:i w:val="1"/>
          <w:iCs w:val="1"/>
          <w:color w:val="auto"/>
        </w:rPr>
        <w:t xml:space="preserve"> </w:t>
      </w:r>
      <w:r>
        <w:rPr>
          <w:rFonts w:ascii="Arial" w:cs="Arial" w:eastAsia="Arial" w:hAnsi="Arial"/>
          <w:sz w:val="18"/>
          <w:szCs w:val="18"/>
          <w:color w:val="auto"/>
        </w:rPr>
        <w:t>practical expedient to estimate fair value, which is determined by the trustee using the fair value of the underlying investments.</w:t>
      </w:r>
    </w:p>
    <w:p>
      <w:pPr>
        <w:spacing w:after="0" w:line="180" w:lineRule="exact"/>
        <w:rPr>
          <w:sz w:val="20"/>
          <w:szCs w:val="20"/>
          <w:color w:val="auto"/>
        </w:rPr>
      </w:pPr>
    </w:p>
    <w:p>
      <w:pPr>
        <w:jc w:val="both"/>
        <w:ind w:left="900"/>
        <w:spacing w:after="0" w:line="259" w:lineRule="auto"/>
        <w:rPr>
          <w:sz w:val="20"/>
          <w:szCs w:val="20"/>
          <w:color w:val="auto"/>
        </w:rPr>
      </w:pPr>
      <w:r>
        <w:rPr>
          <w:rFonts w:ascii="Arial" w:cs="Arial" w:eastAsia="Arial" w:hAnsi="Arial"/>
          <w:sz w:val="18"/>
          <w:szCs w:val="18"/>
          <w:i w:val="1"/>
          <w:iCs w:val="1"/>
          <w:color w:val="auto"/>
        </w:rPr>
        <w:t>Investment Income</w:t>
      </w:r>
      <w:r>
        <w:rPr>
          <w:rFonts w:ascii="Arial" w:cs="Arial" w:eastAsia="Arial" w:hAnsi="Arial"/>
          <w:sz w:val="18"/>
          <w:szCs w:val="18"/>
          <w:color w:val="auto"/>
        </w:rPr>
        <w:t>—Realized gains and losses on sales of investments are calculated as the difference between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investments upon sale and the fair value of the investments at purchase. Unrealized appreciation or depreciation is calculated as the difference between the fair value of the investments at the end of the year and the fair value of the investments at the beginning of the year or on the date of purchase if purchased during the year. Interest income is recorded as earned, and dividends are recorded on the ex-dividend date.</w:t>
      </w:r>
    </w:p>
    <w:p>
      <w:pPr>
        <w:spacing w:after="0" w:line="20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Investment Risks and Uncertainties</w:t>
      </w:r>
      <w:r>
        <w:rPr>
          <w:rFonts w:ascii="Arial" w:cs="Arial" w:eastAsia="Arial" w:hAnsi="Arial"/>
          <w:sz w:val="18"/>
          <w:szCs w:val="18"/>
          <w:color w:val="000000"/>
        </w:rPr>
        <w:t>—The Plan invests in various investment securities which, in general, are exposed to various</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risks, such as interest rate risk, credit risk, and overall market volatility. Due to the level of risk associated with investment securities, it is reasonably possible that changes in the values of certain investment securities will occur in the near term and such changes could materially affect the amounts reported in the statement of net assets available for benefits and statement of changes in net assets available for benefits.</w:t>
      </w:r>
    </w:p>
    <w:p>
      <w:pPr>
        <w:spacing w:after="0" w:line="206"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b w:val="1"/>
          <w:bCs w:val="1"/>
          <w:i w:val="1"/>
          <w:iCs w:val="1"/>
          <w:color w:val="2B4C9B"/>
        </w:rPr>
        <w:t>Notes Receivable from Participants</w:t>
      </w:r>
      <w:r>
        <w:rPr>
          <w:rFonts w:ascii="Arial" w:cs="Arial" w:eastAsia="Arial" w:hAnsi="Arial"/>
          <w:sz w:val="18"/>
          <w:szCs w:val="18"/>
          <w:color w:val="000000"/>
        </w:rPr>
        <w:t>—Notes receivable from participants are carried at the aggregate unpaid principal balance, plus</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accrued, unpaid interest of loans outstanding. If a participant defaults on a loan, it becomes a distribution from the Plan to the participant.</w:t>
      </w:r>
    </w:p>
    <w:p>
      <w:pPr>
        <w:spacing w:after="0" w:line="198" w:lineRule="exact"/>
        <w:rPr>
          <w:sz w:val="20"/>
          <w:szCs w:val="20"/>
          <w:color w:val="auto"/>
        </w:rPr>
      </w:pPr>
    </w:p>
    <w:p>
      <w:pPr>
        <w:jc w:val="both"/>
        <w:ind w:left="460" w:right="20"/>
        <w:spacing w:after="0" w:line="287" w:lineRule="auto"/>
        <w:rPr>
          <w:sz w:val="20"/>
          <w:szCs w:val="20"/>
          <w:color w:val="auto"/>
        </w:rPr>
      </w:pPr>
      <w:r>
        <w:rPr>
          <w:rFonts w:ascii="Arial" w:cs="Arial" w:eastAsia="Arial" w:hAnsi="Arial"/>
          <w:sz w:val="18"/>
          <w:szCs w:val="18"/>
          <w:b w:val="1"/>
          <w:bCs w:val="1"/>
          <w:i w:val="1"/>
          <w:iCs w:val="1"/>
          <w:color w:val="2B4C9B"/>
        </w:rPr>
        <w:t>Distributions Paid to Participants</w:t>
      </w:r>
      <w:r>
        <w:rPr>
          <w:rFonts w:ascii="Arial" w:cs="Arial" w:eastAsia="Arial" w:hAnsi="Arial"/>
          <w:sz w:val="18"/>
          <w:szCs w:val="18"/>
          <w:color w:val="000000"/>
        </w:rPr>
        <w:t>—Benefit payments to participants are recorded upon distribution. There were no distributions</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payable to participants who had elected to withdraw from the Plan but had not yet been paid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- 6 -</w:t>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December 31, 2024 and 2023</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b w:val="1"/>
          <w:bCs w:val="1"/>
          <w:i w:val="1"/>
          <w:iCs w:val="1"/>
          <w:color w:val="2B4C9B"/>
        </w:rPr>
        <w:t>Administrative Expenses</w:t>
      </w:r>
      <w:r>
        <w:rPr>
          <w:rFonts w:ascii="Arial" w:cs="Arial" w:eastAsia="Arial" w:hAnsi="Arial"/>
          <w:sz w:val="18"/>
          <w:szCs w:val="18"/>
          <w:color w:val="000000"/>
        </w:rPr>
        <w:t>—Administrative expenses of the Plan are paid by the Plan sponsor or Plan participants as provided in the</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Plan document. Payments for service fees, professional fees, and plan-related investment advisory fees are generally funded from assessments charged on participant accounts.</w:t>
      </w:r>
    </w:p>
    <w:p>
      <w:pPr>
        <w:spacing w:after="0" w:line="306"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2B4C9B"/>
        </w:rPr>
      </w:pPr>
      <w:r>
        <w:rPr>
          <w:rFonts w:ascii="Arial" w:cs="Arial" w:eastAsia="Arial" w:hAnsi="Arial"/>
          <w:sz w:val="18"/>
          <w:szCs w:val="18"/>
          <w:b w:val="1"/>
          <w:bCs w:val="1"/>
          <w:color w:val="2B4C9B"/>
        </w:rPr>
        <w:t>FAIR VALUE MEASUREMENTS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010202"/>
        </w:rPr>
        <w:t>Accounting guidance has been issued that establishes a framework for measuring fair value. That framework provides a fair value hierarchy that prioritizes the inputs to valuation techniques used to measure fair value. The three levels of the fair value hierarchy are described below:</w:t>
      </w:r>
    </w:p>
    <w:p>
      <w:pPr>
        <w:spacing w:after="0" w:line="126" w:lineRule="exact"/>
        <w:rPr>
          <w:sz w:val="20"/>
          <w:szCs w:val="20"/>
          <w:color w:val="auto"/>
        </w:rPr>
      </w:pPr>
    </w:p>
    <w:p>
      <w:pPr>
        <w:ind w:left="500"/>
        <w:spacing w:after="0"/>
        <w:tabs>
          <w:tab w:leader="none" w:pos="12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Unadjusted quoted prices for identical assets or liabilities in active markets that the Plan has the ability to access.</w:t>
      </w:r>
    </w:p>
    <w:p>
      <w:pPr>
        <w:spacing w:after="0" w:line="185" w:lineRule="exact"/>
        <w:rPr>
          <w:sz w:val="20"/>
          <w:szCs w:val="20"/>
          <w:color w:val="auto"/>
        </w:rPr>
      </w:pPr>
    </w:p>
    <w:p>
      <w:pPr>
        <w:jc w:val="both"/>
        <w:ind w:left="1300" w:hanging="1011"/>
        <w:spacing w:after="0" w:line="259" w:lineRule="auto"/>
        <w:tabs>
          <w:tab w:leader="none" w:pos="1280" w:val="left"/>
        </w:tabs>
        <w:rPr>
          <w:sz w:val="20"/>
          <w:szCs w:val="20"/>
          <w:color w:val="auto"/>
        </w:rPr>
      </w:pPr>
      <w:r>
        <w:rPr>
          <w:rFonts w:ascii="Arial" w:cs="Arial" w:eastAsia="Arial" w:hAnsi="Arial"/>
          <w:sz w:val="18"/>
          <w:szCs w:val="18"/>
          <w:color w:val="auto"/>
        </w:rPr>
        <w:t>Level 2</w:t>
        <w:tab/>
        <w:t>Inputs to the valuation methodology include: quoted prices for similar assets or liabilities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If the asset or liability has a specified (contractual) term, the Level 2 inputs must be observable for substantially the full term of the asset or liability.</w:t>
      </w:r>
    </w:p>
    <w:p>
      <w:pPr>
        <w:spacing w:after="0" w:line="139" w:lineRule="exact"/>
        <w:rPr>
          <w:sz w:val="20"/>
          <w:szCs w:val="20"/>
          <w:color w:val="auto"/>
        </w:rPr>
      </w:pPr>
    </w:p>
    <w:p>
      <w:pPr>
        <w:ind w:left="500"/>
        <w:spacing w:after="0"/>
        <w:tabs>
          <w:tab w:leader="none" w:pos="12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Inputs to the valuation methodology are unobservable and significant to the fair value measurement.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Plan’s investments at fair value and by level, as applicable, as of December 31, 2024 and 2023:</w:t>
      </w:r>
    </w:p>
    <w:p>
      <w:pPr>
        <w:spacing w:after="0" w:line="140" w:lineRule="exact"/>
        <w:rPr>
          <w:sz w:val="20"/>
          <w:szCs w:val="20"/>
          <w:color w:val="auto"/>
        </w:rPr>
      </w:pPr>
    </w:p>
    <w:tbl>
      <w:tblPr>
        <w:tblLayout w:type="fixed"/>
        <w:tblInd w:w="820" w:type="dxa"/>
        <w:tblCellMar>
          <w:top w:w="0" w:type="dxa"/>
          <w:left w:w="0" w:type="dxa"/>
          <w:bottom w:w="0" w:type="dxa"/>
          <w:right w:w="0" w:type="dxa"/>
        </w:tblCellMar>
      </w:tblPr>
      <w:tr>
        <w:trPr>
          <w:trHeight w:val="194"/>
        </w:trPr>
        <w:tc>
          <w:tcPr>
            <w:tcW w:w="3660" w:type="dxa"/>
            <w:vAlign w:val="bottom"/>
          </w:tcPr>
          <w:p>
            <w:pPr>
              <w:spacing w:after="0"/>
              <w:rPr>
                <w:sz w:val="16"/>
                <w:szCs w:val="16"/>
                <w:color w:val="auto"/>
              </w:rPr>
            </w:pPr>
          </w:p>
        </w:tc>
        <w:tc>
          <w:tcPr>
            <w:tcW w:w="300" w:type="dxa"/>
            <w:vAlign w:val="bottom"/>
            <w:tcBorders>
              <w:bottom w:val="single" w:sz="8" w:color="2B4C9B"/>
            </w:tcBorders>
          </w:tcPr>
          <w:p>
            <w:pPr>
              <w:spacing w:after="0"/>
              <w:rPr>
                <w:sz w:val="16"/>
                <w:szCs w:val="16"/>
                <w:color w:val="auto"/>
              </w:rPr>
            </w:pPr>
          </w:p>
        </w:tc>
        <w:tc>
          <w:tcPr>
            <w:tcW w:w="1560" w:type="dxa"/>
            <w:vAlign w:val="bottom"/>
            <w:tcBorders>
              <w:bottom w:val="single" w:sz="8" w:color="2B4C9B"/>
            </w:tcBorders>
            <w:gridSpan w:val="2"/>
          </w:tcPr>
          <w:p>
            <w:pPr>
              <w:jc w:val="right"/>
              <w:ind w:right="168"/>
              <w:spacing w:after="0"/>
              <w:rPr>
                <w:sz w:val="20"/>
                <w:szCs w:val="20"/>
                <w:color w:val="auto"/>
              </w:rPr>
            </w:pPr>
            <w:r>
              <w:rPr>
                <w:rFonts w:ascii="Arial" w:cs="Arial" w:eastAsia="Arial" w:hAnsi="Arial"/>
                <w:sz w:val="14"/>
                <w:szCs w:val="14"/>
                <w:color w:val="auto"/>
              </w:rPr>
              <w:t>Level 1</w:t>
            </w:r>
          </w:p>
        </w:tc>
        <w:tc>
          <w:tcPr>
            <w:tcW w:w="940" w:type="dxa"/>
            <w:vAlign w:val="bottom"/>
            <w:tcBorders>
              <w:bottom w:val="single" w:sz="8" w:color="2B4C9B"/>
            </w:tcBorders>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Borders>
              <w:bottom w:val="single" w:sz="8" w:color="2B4C9B"/>
            </w:tcBorders>
          </w:tcPr>
          <w:p>
            <w:pPr>
              <w:spacing w:after="0"/>
              <w:rPr>
                <w:sz w:val="16"/>
                <w:szCs w:val="16"/>
                <w:color w:val="auto"/>
              </w:rPr>
            </w:pPr>
          </w:p>
        </w:tc>
        <w:tc>
          <w:tcPr>
            <w:tcW w:w="820" w:type="dxa"/>
            <w:vAlign w:val="bottom"/>
            <w:tcBorders>
              <w:bottom w:val="single" w:sz="8" w:color="2B4C9B"/>
            </w:tcBorders>
          </w:tcPr>
          <w:p>
            <w:pPr>
              <w:spacing w:after="0"/>
              <w:rPr>
                <w:sz w:val="16"/>
                <w:szCs w:val="16"/>
                <w:color w:val="auto"/>
              </w:rPr>
            </w:pPr>
          </w:p>
        </w:tc>
        <w:tc>
          <w:tcPr>
            <w:tcW w:w="640" w:type="dxa"/>
            <w:vAlign w:val="bottom"/>
            <w:tcBorders>
              <w:bottom w:val="single" w:sz="8" w:color="2B4C9B"/>
            </w:tcBorders>
          </w:tcPr>
          <w:p>
            <w:pPr>
              <w:jc w:val="right"/>
              <w:ind w:right="248"/>
              <w:spacing w:after="0"/>
              <w:rPr>
                <w:sz w:val="20"/>
                <w:szCs w:val="20"/>
                <w:color w:val="auto"/>
              </w:rPr>
            </w:pPr>
            <w:r>
              <w:rPr>
                <w:rFonts w:ascii="Arial" w:cs="Arial" w:eastAsia="Arial" w:hAnsi="Arial"/>
                <w:sz w:val="14"/>
                <w:szCs w:val="14"/>
                <w:color w:val="auto"/>
                <w:w w:val="96"/>
              </w:rPr>
              <w:t>Total</w:t>
            </w:r>
          </w:p>
        </w:tc>
        <w:tc>
          <w:tcPr>
            <w:tcW w:w="940" w:type="dxa"/>
            <w:vAlign w:val="bottom"/>
            <w:tcBorders>
              <w:bottom w:val="single" w:sz="8" w:color="2B4C9B"/>
            </w:tcBorders>
          </w:tcPr>
          <w:p>
            <w:pPr>
              <w:spacing w:after="0"/>
              <w:rPr>
                <w:sz w:val="16"/>
                <w:szCs w:val="16"/>
                <w:color w:val="auto"/>
              </w:rPr>
            </w:pPr>
          </w:p>
        </w:tc>
      </w:tr>
      <w:tr>
        <w:trPr>
          <w:trHeight w:val="199"/>
        </w:trPr>
        <w:tc>
          <w:tcPr>
            <w:tcW w:w="3660" w:type="dxa"/>
            <w:vAlign w:val="bottom"/>
            <w:tcBorders>
              <w:bottom w:val="single" w:sz="8" w:color="2B4C9B"/>
            </w:tcBorders>
          </w:tcPr>
          <w:p>
            <w:pPr>
              <w:spacing w:after="0"/>
              <w:rPr>
                <w:sz w:val="17"/>
                <w:szCs w:val="17"/>
                <w:color w:val="auto"/>
              </w:rPr>
            </w:pPr>
          </w:p>
        </w:tc>
        <w:tc>
          <w:tcPr>
            <w:tcW w:w="300" w:type="dxa"/>
            <w:vAlign w:val="bottom"/>
            <w:tcBorders>
              <w:bottom w:val="single" w:sz="8" w:color="2B4C9B"/>
            </w:tcBorders>
          </w:tcPr>
          <w:p>
            <w:pPr>
              <w:spacing w:after="0"/>
              <w:rPr>
                <w:sz w:val="17"/>
                <w:szCs w:val="17"/>
                <w:color w:val="auto"/>
              </w:rPr>
            </w:pPr>
          </w:p>
        </w:tc>
        <w:tc>
          <w:tcPr>
            <w:tcW w:w="1060" w:type="dxa"/>
            <w:vAlign w:val="bottom"/>
            <w:tcBorders>
              <w:bottom w:val="single" w:sz="8" w:color="2B4C9B"/>
            </w:tcBorders>
          </w:tcPr>
          <w:p>
            <w:pPr>
              <w:jc w:val="right"/>
              <w:ind w:right="88"/>
              <w:spacing w:after="0"/>
              <w:rPr>
                <w:sz w:val="20"/>
                <w:szCs w:val="20"/>
                <w:color w:val="auto"/>
              </w:rPr>
            </w:pPr>
            <w:r>
              <w:rPr>
                <w:rFonts w:ascii="Arial" w:cs="Arial" w:eastAsia="Arial" w:hAnsi="Arial"/>
                <w:sz w:val="14"/>
                <w:szCs w:val="14"/>
                <w:b w:val="1"/>
                <w:bCs w:val="1"/>
                <w:color w:val="2B4C9B"/>
              </w:rPr>
              <w:t>2024</w:t>
            </w:r>
          </w:p>
        </w:tc>
        <w:tc>
          <w:tcPr>
            <w:tcW w:w="500" w:type="dxa"/>
            <w:vAlign w:val="bottom"/>
            <w:tcBorders>
              <w:bottom w:val="single" w:sz="8" w:color="2B4C9B"/>
            </w:tcBorders>
          </w:tcPr>
          <w:p>
            <w:pPr>
              <w:spacing w:after="0"/>
              <w:rPr>
                <w:sz w:val="17"/>
                <w:szCs w:val="17"/>
                <w:color w:val="auto"/>
              </w:rPr>
            </w:pPr>
          </w:p>
        </w:tc>
        <w:tc>
          <w:tcPr>
            <w:tcW w:w="9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2023</w:t>
            </w:r>
          </w:p>
        </w:tc>
        <w:tc>
          <w:tcPr>
            <w:tcW w:w="280" w:type="dxa"/>
            <w:vAlign w:val="bottom"/>
            <w:tcBorders>
              <w:bottom w:val="single" w:sz="8" w:color="2B4C9B"/>
            </w:tcBorders>
          </w:tcPr>
          <w:p>
            <w:pPr>
              <w:spacing w:after="0"/>
              <w:rPr>
                <w:sz w:val="17"/>
                <w:szCs w:val="17"/>
                <w:color w:val="auto"/>
              </w:rPr>
            </w:pPr>
          </w:p>
        </w:tc>
        <w:tc>
          <w:tcPr>
            <w:tcW w:w="460" w:type="dxa"/>
            <w:vAlign w:val="bottom"/>
            <w:tcBorders>
              <w:bottom w:val="single" w:sz="8" w:color="2B4C9B"/>
            </w:tcBorders>
          </w:tcPr>
          <w:p>
            <w:pPr>
              <w:spacing w:after="0"/>
              <w:rPr>
                <w:sz w:val="17"/>
                <w:szCs w:val="17"/>
                <w:color w:val="auto"/>
              </w:rPr>
            </w:pPr>
          </w:p>
        </w:tc>
        <w:tc>
          <w:tcPr>
            <w:tcW w:w="8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2024</w:t>
            </w:r>
          </w:p>
        </w:tc>
        <w:tc>
          <w:tcPr>
            <w:tcW w:w="640" w:type="dxa"/>
            <w:vAlign w:val="bottom"/>
            <w:tcBorders>
              <w:bottom w:val="single" w:sz="8" w:color="2B4C9B"/>
            </w:tcBorders>
          </w:tcPr>
          <w:p>
            <w:pPr>
              <w:spacing w:after="0"/>
              <w:rPr>
                <w:sz w:val="17"/>
                <w:szCs w:val="17"/>
                <w:color w:val="auto"/>
              </w:rPr>
            </w:pPr>
          </w:p>
        </w:tc>
        <w:tc>
          <w:tcPr>
            <w:tcW w:w="9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2023</w:t>
            </w:r>
          </w:p>
        </w:tc>
      </w:tr>
      <w:tr>
        <w:trPr>
          <w:trHeight w:val="193"/>
        </w:trPr>
        <w:tc>
          <w:tcPr>
            <w:tcW w:w="3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gridSpan w:val="3"/>
          </w:tcPr>
          <w:p>
            <w:pPr>
              <w:jc w:val="right"/>
              <w:ind w:right="48"/>
              <w:spacing w:after="0"/>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6"/>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Mutual funds</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2B4C9B"/>
              </w:rPr>
              <w:t>$</w:t>
            </w:r>
          </w:p>
        </w:tc>
        <w:tc>
          <w:tcPr>
            <w:tcW w:w="1060" w:type="dxa"/>
            <w:vAlign w:val="bottom"/>
            <w:shd w:val="clear" w:color="auto" w:fill="CFF0FC"/>
          </w:tcPr>
          <w:p>
            <w:pPr>
              <w:jc w:val="right"/>
              <w:ind w:right="148"/>
              <w:spacing w:after="0"/>
              <w:rPr>
                <w:sz w:val="20"/>
                <w:szCs w:val="20"/>
                <w:color w:val="auto"/>
              </w:rPr>
            </w:pPr>
            <w:r>
              <w:rPr>
                <w:rFonts w:ascii="Arial" w:cs="Arial" w:eastAsia="Arial" w:hAnsi="Arial"/>
                <w:sz w:val="14"/>
                <w:szCs w:val="14"/>
                <w:b w:val="1"/>
                <w:bCs w:val="1"/>
                <w:color w:val="2B4C9B"/>
              </w:rPr>
              <w:t>1,396,566</w:t>
            </w:r>
          </w:p>
        </w:tc>
        <w:tc>
          <w:tcPr>
            <w:tcW w:w="50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1,380,262</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2B4C9B"/>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2B4C9B"/>
              </w:rPr>
              <w:t>1,396,566</w:t>
            </w:r>
          </w:p>
        </w:tc>
        <w:tc>
          <w:tcPr>
            <w:tcW w:w="6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1,380,262</w:t>
            </w:r>
          </w:p>
        </w:tc>
      </w:tr>
      <w:tr>
        <w:trPr>
          <w:trHeight w:val="202"/>
        </w:trPr>
        <w:tc>
          <w:tcPr>
            <w:tcW w:w="3660" w:type="dxa"/>
            <w:vAlign w:val="bottom"/>
          </w:tcPr>
          <w:p>
            <w:pPr>
              <w:ind w:left="20"/>
              <w:spacing w:after="0"/>
              <w:rPr>
                <w:sz w:val="20"/>
                <w:szCs w:val="20"/>
                <w:color w:val="auto"/>
              </w:rPr>
            </w:pPr>
            <w:r>
              <w:rPr>
                <w:rFonts w:ascii="Arial" w:cs="Arial" w:eastAsia="Arial" w:hAnsi="Arial"/>
                <w:sz w:val="14"/>
                <w:szCs w:val="14"/>
                <w:color w:val="auto"/>
              </w:rPr>
              <w:t>SAIC common stock</w:t>
            </w:r>
          </w:p>
        </w:tc>
        <w:tc>
          <w:tcPr>
            <w:tcW w:w="300" w:type="dxa"/>
            <w:vAlign w:val="bottom"/>
          </w:tcPr>
          <w:p>
            <w:pPr>
              <w:spacing w:after="0"/>
              <w:rPr>
                <w:sz w:val="17"/>
                <w:szCs w:val="17"/>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b w:val="1"/>
                <w:bCs w:val="1"/>
                <w:color w:val="2B4C9B"/>
              </w:rPr>
              <w:t>108,969</w:t>
            </w:r>
          </w:p>
        </w:tc>
        <w:tc>
          <w:tcPr>
            <w:tcW w:w="50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127,903</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2B4C9B"/>
              </w:rPr>
              <w:t>108,969</w:t>
            </w:r>
          </w:p>
        </w:tc>
        <w:tc>
          <w:tcPr>
            <w:tcW w:w="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127,903</w:t>
            </w:r>
          </w:p>
        </w:tc>
      </w:tr>
      <w:tr>
        <w:trPr>
          <w:trHeight w:val="203"/>
        </w:trPr>
        <w:tc>
          <w:tcPr>
            <w:tcW w:w="366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4"/>
                <w:szCs w:val="14"/>
                <w:color w:val="auto"/>
              </w:rPr>
              <w:t>Self-directed brokerage fund</w:t>
            </w:r>
          </w:p>
        </w:tc>
        <w:tc>
          <w:tcPr>
            <w:tcW w:w="300" w:type="dxa"/>
            <w:vAlign w:val="bottom"/>
            <w:tcBorders>
              <w:bottom w:val="single" w:sz="8" w:color="2B4C9B"/>
            </w:tcBorders>
            <w:shd w:val="clear" w:color="auto" w:fill="CFF0FC"/>
          </w:tcPr>
          <w:p>
            <w:pPr>
              <w:spacing w:after="0"/>
              <w:rPr>
                <w:sz w:val="17"/>
                <w:szCs w:val="17"/>
                <w:color w:val="auto"/>
              </w:rPr>
            </w:pPr>
          </w:p>
        </w:tc>
        <w:tc>
          <w:tcPr>
            <w:tcW w:w="1060" w:type="dxa"/>
            <w:vAlign w:val="bottom"/>
            <w:tcBorders>
              <w:bottom w:val="single" w:sz="8" w:color="2B4C9B"/>
            </w:tcBorders>
            <w:shd w:val="clear" w:color="auto" w:fill="CFF0FC"/>
          </w:tcPr>
          <w:p>
            <w:pPr>
              <w:jc w:val="right"/>
              <w:ind w:right="148"/>
              <w:spacing w:after="0"/>
              <w:rPr>
                <w:sz w:val="20"/>
                <w:szCs w:val="20"/>
                <w:color w:val="auto"/>
              </w:rPr>
            </w:pPr>
            <w:r>
              <w:rPr>
                <w:rFonts w:ascii="Arial" w:cs="Arial" w:eastAsia="Arial" w:hAnsi="Arial"/>
                <w:sz w:val="14"/>
                <w:szCs w:val="14"/>
                <w:b w:val="1"/>
                <w:bCs w:val="1"/>
                <w:color w:val="2B4C9B"/>
              </w:rPr>
              <w:t>110,728</w:t>
            </w:r>
          </w:p>
        </w:tc>
        <w:tc>
          <w:tcPr>
            <w:tcW w:w="500" w:type="dxa"/>
            <w:vAlign w:val="bottom"/>
            <w:tcBorders>
              <w:bottom w:val="single" w:sz="8" w:color="2B4C9B"/>
            </w:tcBorders>
            <w:shd w:val="clear" w:color="auto" w:fill="CFF0FC"/>
          </w:tcPr>
          <w:p>
            <w:pPr>
              <w:spacing w:after="0"/>
              <w:rPr>
                <w:sz w:val="17"/>
                <w:szCs w:val="17"/>
                <w:color w:val="auto"/>
              </w:rPr>
            </w:pPr>
          </w:p>
        </w:tc>
        <w:tc>
          <w:tcPr>
            <w:tcW w:w="940" w:type="dxa"/>
            <w:vAlign w:val="bottom"/>
            <w:tcBorders>
              <w:bottom w:val="single" w:sz="8" w:color="2B4C9B"/>
            </w:tcBorders>
            <w:shd w:val="clear" w:color="auto" w:fill="CFF0FC"/>
          </w:tcPr>
          <w:p>
            <w:pPr>
              <w:jc w:val="right"/>
              <w:ind w:right="8"/>
              <w:spacing w:after="0"/>
              <w:rPr>
                <w:sz w:val="20"/>
                <w:szCs w:val="20"/>
                <w:color w:val="auto"/>
              </w:rPr>
            </w:pPr>
            <w:r>
              <w:rPr>
                <w:rFonts w:ascii="Arial" w:cs="Arial" w:eastAsia="Arial" w:hAnsi="Arial"/>
                <w:sz w:val="14"/>
                <w:szCs w:val="14"/>
                <w:color w:val="auto"/>
              </w:rPr>
              <w:t>86,276</w:t>
            </w:r>
          </w:p>
        </w:tc>
        <w:tc>
          <w:tcPr>
            <w:tcW w:w="280" w:type="dxa"/>
            <w:vAlign w:val="bottom"/>
            <w:tcBorders>
              <w:bottom w:val="single" w:sz="8" w:color="2B4C9B"/>
            </w:tcBorders>
            <w:shd w:val="clear" w:color="auto" w:fill="CFF0FC"/>
          </w:tcPr>
          <w:p>
            <w:pPr>
              <w:spacing w:after="0"/>
              <w:rPr>
                <w:sz w:val="17"/>
                <w:szCs w:val="17"/>
                <w:color w:val="auto"/>
              </w:rPr>
            </w:pPr>
          </w:p>
        </w:tc>
        <w:tc>
          <w:tcPr>
            <w:tcW w:w="460" w:type="dxa"/>
            <w:vAlign w:val="bottom"/>
            <w:tcBorders>
              <w:bottom w:val="single" w:sz="8" w:color="2B4C9B"/>
            </w:tcBorders>
            <w:shd w:val="clear" w:color="auto" w:fill="CFF0FC"/>
          </w:tcPr>
          <w:p>
            <w:pPr>
              <w:spacing w:after="0"/>
              <w:rPr>
                <w:sz w:val="17"/>
                <w:szCs w:val="17"/>
                <w:color w:val="auto"/>
              </w:rPr>
            </w:pPr>
          </w:p>
        </w:tc>
        <w:tc>
          <w:tcPr>
            <w:tcW w:w="8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4"/>
                <w:szCs w:val="14"/>
                <w:b w:val="1"/>
                <w:bCs w:val="1"/>
                <w:color w:val="2B4C9B"/>
              </w:rPr>
              <w:t>110,728</w:t>
            </w:r>
          </w:p>
        </w:tc>
        <w:tc>
          <w:tcPr>
            <w:tcW w:w="640" w:type="dxa"/>
            <w:vAlign w:val="bottom"/>
            <w:tcBorders>
              <w:bottom w:val="single" w:sz="8" w:color="2B4C9B"/>
            </w:tcBorders>
            <w:shd w:val="clear" w:color="auto" w:fill="CFF0FC"/>
          </w:tcPr>
          <w:p>
            <w:pPr>
              <w:spacing w:after="0"/>
              <w:rPr>
                <w:sz w:val="17"/>
                <w:szCs w:val="17"/>
                <w:color w:val="auto"/>
              </w:rPr>
            </w:pPr>
          </w:p>
        </w:tc>
        <w:tc>
          <w:tcPr>
            <w:tcW w:w="9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4"/>
                <w:szCs w:val="14"/>
                <w:color w:val="auto"/>
              </w:rPr>
              <w:t>86,276</w:t>
            </w:r>
          </w:p>
        </w:tc>
      </w:tr>
      <w:tr>
        <w:trPr>
          <w:trHeight w:val="196"/>
        </w:trPr>
        <w:tc>
          <w:tcPr>
            <w:tcW w:w="3660" w:type="dxa"/>
            <w:vAlign w:val="bottom"/>
            <w:tcBorders>
              <w:bottom w:val="single" w:sz="8" w:color="2B4C9B"/>
            </w:tcBorders>
          </w:tcPr>
          <w:p>
            <w:pPr>
              <w:ind w:left="20"/>
              <w:spacing w:after="0"/>
              <w:rPr>
                <w:sz w:val="20"/>
                <w:szCs w:val="20"/>
                <w:color w:val="auto"/>
              </w:rPr>
            </w:pPr>
            <w:r>
              <w:rPr>
                <w:rFonts w:ascii="Arial" w:cs="Arial" w:eastAsia="Arial" w:hAnsi="Arial"/>
                <w:sz w:val="14"/>
                <w:szCs w:val="14"/>
                <w:color w:val="auto"/>
              </w:rPr>
              <w:t>Subtotal</w:t>
            </w:r>
          </w:p>
        </w:tc>
        <w:tc>
          <w:tcPr>
            <w:tcW w:w="300" w:type="dxa"/>
            <w:vAlign w:val="bottom"/>
            <w:tcBorders>
              <w:bottom w:val="single" w:sz="8" w:color="2B4C9B"/>
            </w:tcBorders>
          </w:tcPr>
          <w:p>
            <w:pPr>
              <w:jc w:val="right"/>
              <w:ind w:right="128"/>
              <w:spacing w:after="0"/>
              <w:rPr>
                <w:sz w:val="20"/>
                <w:szCs w:val="20"/>
                <w:color w:val="auto"/>
              </w:rPr>
            </w:pPr>
            <w:r>
              <w:rPr>
                <w:rFonts w:ascii="Arial" w:cs="Arial" w:eastAsia="Arial" w:hAnsi="Arial"/>
                <w:sz w:val="14"/>
                <w:szCs w:val="14"/>
                <w:b w:val="1"/>
                <w:bCs w:val="1"/>
                <w:color w:val="2B4C9B"/>
              </w:rPr>
              <w:t>$</w:t>
            </w:r>
          </w:p>
        </w:tc>
        <w:tc>
          <w:tcPr>
            <w:tcW w:w="1060" w:type="dxa"/>
            <w:vAlign w:val="bottom"/>
            <w:tcBorders>
              <w:bottom w:val="single" w:sz="8" w:color="2B4C9B"/>
            </w:tcBorders>
          </w:tcPr>
          <w:p>
            <w:pPr>
              <w:jc w:val="right"/>
              <w:ind w:right="148"/>
              <w:spacing w:after="0"/>
              <w:rPr>
                <w:sz w:val="20"/>
                <w:szCs w:val="20"/>
                <w:color w:val="auto"/>
              </w:rPr>
            </w:pPr>
            <w:r>
              <w:rPr>
                <w:rFonts w:ascii="Arial" w:cs="Arial" w:eastAsia="Arial" w:hAnsi="Arial"/>
                <w:sz w:val="14"/>
                <w:szCs w:val="14"/>
                <w:b w:val="1"/>
                <w:bCs w:val="1"/>
                <w:color w:val="2B4C9B"/>
              </w:rPr>
              <w:t>1,616,263</w:t>
            </w:r>
          </w:p>
        </w:tc>
        <w:tc>
          <w:tcPr>
            <w:tcW w:w="500" w:type="dxa"/>
            <w:vAlign w:val="bottom"/>
            <w:tcBorders>
              <w:bottom w:val="single" w:sz="8" w:color="2B4C9B"/>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2B4C9B"/>
            </w:tcBorders>
          </w:tcPr>
          <w:p>
            <w:pPr>
              <w:jc w:val="right"/>
              <w:ind w:right="8"/>
              <w:spacing w:after="0"/>
              <w:rPr>
                <w:sz w:val="20"/>
                <w:szCs w:val="20"/>
                <w:color w:val="auto"/>
              </w:rPr>
            </w:pPr>
            <w:r>
              <w:rPr>
                <w:rFonts w:ascii="Arial" w:cs="Arial" w:eastAsia="Arial" w:hAnsi="Arial"/>
                <w:sz w:val="14"/>
                <w:szCs w:val="14"/>
                <w:color w:val="auto"/>
              </w:rPr>
              <w:t>1,594,441</w:t>
            </w:r>
          </w:p>
        </w:tc>
        <w:tc>
          <w:tcPr>
            <w:tcW w:w="280" w:type="dxa"/>
            <w:vAlign w:val="bottom"/>
            <w:tcBorders>
              <w:bottom w:val="single" w:sz="8" w:color="2B4C9B"/>
            </w:tcBorders>
          </w:tcPr>
          <w:p>
            <w:pPr>
              <w:spacing w:after="0"/>
              <w:rPr>
                <w:sz w:val="17"/>
                <w:szCs w:val="17"/>
                <w:color w:val="auto"/>
              </w:rPr>
            </w:pPr>
          </w:p>
        </w:tc>
        <w:tc>
          <w:tcPr>
            <w:tcW w:w="460" w:type="dxa"/>
            <w:vAlign w:val="bottom"/>
            <w:tcBorders>
              <w:bottom w:val="single" w:sz="8" w:color="2B4C9B"/>
            </w:tcBorders>
          </w:tcPr>
          <w:p>
            <w:pPr>
              <w:jc w:val="right"/>
              <w:ind w:right="288"/>
              <w:spacing w:after="0"/>
              <w:rPr>
                <w:sz w:val="20"/>
                <w:szCs w:val="20"/>
                <w:color w:val="auto"/>
              </w:rPr>
            </w:pPr>
            <w:r>
              <w:rPr>
                <w:rFonts w:ascii="Arial" w:cs="Arial" w:eastAsia="Arial" w:hAnsi="Arial"/>
                <w:sz w:val="14"/>
                <w:szCs w:val="14"/>
                <w:b w:val="1"/>
                <w:bCs w:val="1"/>
                <w:color w:val="2B4C9B"/>
              </w:rPr>
              <w:t>$</w:t>
            </w:r>
          </w:p>
        </w:tc>
        <w:tc>
          <w:tcPr>
            <w:tcW w:w="8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1,616,263</w:t>
            </w:r>
          </w:p>
        </w:tc>
        <w:tc>
          <w:tcPr>
            <w:tcW w:w="640" w:type="dxa"/>
            <w:vAlign w:val="bottom"/>
            <w:tcBorders>
              <w:bottom w:val="single" w:sz="8" w:color="2B4C9B"/>
            </w:tcBorders>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1,594,441</w:t>
            </w:r>
          </w:p>
        </w:tc>
      </w:tr>
      <w:tr>
        <w:trPr>
          <w:trHeight w:val="196"/>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Collective trusts—measured at NAV</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tcBorders>
              <w:bottom w:val="single" w:sz="8" w:color="2B4C9B"/>
            </w:tcBorders>
            <w:shd w:val="clear" w:color="auto" w:fill="CFF0FC"/>
          </w:tcPr>
          <w:p>
            <w:pPr>
              <w:spacing w:after="0"/>
              <w:rPr>
                <w:sz w:val="17"/>
                <w:szCs w:val="17"/>
                <w:color w:val="auto"/>
              </w:rPr>
            </w:pPr>
          </w:p>
        </w:tc>
        <w:tc>
          <w:tcPr>
            <w:tcW w:w="8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4"/>
                <w:szCs w:val="14"/>
                <w:b w:val="1"/>
                <w:bCs w:val="1"/>
                <w:color w:val="2B4C9B"/>
              </w:rPr>
              <w:t>3,749,958</w:t>
            </w:r>
          </w:p>
        </w:tc>
        <w:tc>
          <w:tcPr>
            <w:tcW w:w="640" w:type="dxa"/>
            <w:vAlign w:val="bottom"/>
            <w:tcBorders>
              <w:bottom w:val="single" w:sz="8" w:color="2B4C9B"/>
            </w:tcBorders>
            <w:shd w:val="clear" w:color="auto" w:fill="CFF0FC"/>
          </w:tcPr>
          <w:p>
            <w:pPr>
              <w:spacing w:after="0"/>
              <w:rPr>
                <w:sz w:val="17"/>
                <w:szCs w:val="17"/>
                <w:color w:val="auto"/>
              </w:rPr>
            </w:pPr>
          </w:p>
        </w:tc>
        <w:tc>
          <w:tcPr>
            <w:tcW w:w="9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4"/>
                <w:szCs w:val="14"/>
                <w:color w:val="auto"/>
              </w:rPr>
              <w:t>3,368,624</w:t>
            </w:r>
          </w:p>
        </w:tc>
      </w:tr>
      <w:tr>
        <w:trPr>
          <w:trHeight w:val="204"/>
        </w:trPr>
        <w:tc>
          <w:tcPr>
            <w:tcW w:w="3660" w:type="dxa"/>
            <w:vAlign w:val="bottom"/>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Borders>
              <w:bottom w:val="single" w:sz="8" w:color="2B4C9B"/>
            </w:tcBorders>
          </w:tcPr>
          <w:p>
            <w:pPr>
              <w:jc w:val="right"/>
              <w:ind w:right="288"/>
              <w:spacing w:after="0"/>
              <w:rPr>
                <w:sz w:val="20"/>
                <w:szCs w:val="20"/>
                <w:color w:val="auto"/>
              </w:rPr>
            </w:pPr>
            <w:r>
              <w:rPr>
                <w:rFonts w:ascii="Arial" w:cs="Arial" w:eastAsia="Arial" w:hAnsi="Arial"/>
                <w:sz w:val="14"/>
                <w:szCs w:val="14"/>
                <w:b w:val="1"/>
                <w:bCs w:val="1"/>
                <w:color w:val="2B4C9B"/>
              </w:rPr>
              <w:t>$</w:t>
            </w:r>
          </w:p>
        </w:tc>
        <w:tc>
          <w:tcPr>
            <w:tcW w:w="8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5,366,221</w:t>
            </w:r>
          </w:p>
        </w:tc>
        <w:tc>
          <w:tcPr>
            <w:tcW w:w="640" w:type="dxa"/>
            <w:vAlign w:val="bottom"/>
            <w:tcBorders>
              <w:bottom w:val="single" w:sz="8" w:color="2B4C9B"/>
            </w:tcBorders>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4,963,065</w:t>
            </w: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010202"/>
        </w:rPr>
        <w:t>Collective trusts are measured at fair value using NAV as a practical expedient for fair value and have not been categorized in the fair value hierarchy. The fair value amounts presented in the table are intended to permit reconciliation of the fair value hierarchy to the amounts presented in the Statements of Net Assets Available for Benefits. The Plan has no unfunded commitments to the collective trusts, and there are no redemption restrictions. There were no Level 2 or Level 3 investments as of December 31, 2024 and 2023.</w:t>
      </w:r>
    </w:p>
    <w:p>
      <w:pPr>
        <w:spacing w:after="0" w:line="311"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2B4C9B"/>
        </w:rPr>
      </w:pPr>
      <w:r>
        <w:rPr>
          <w:rFonts w:ascii="Arial" w:cs="Arial" w:eastAsia="Arial" w:hAnsi="Arial"/>
          <w:sz w:val="18"/>
          <w:szCs w:val="18"/>
          <w:b w:val="1"/>
          <w:bCs w:val="1"/>
          <w:color w:val="2B4C9B"/>
        </w:rPr>
        <w:t>SUBSEQUENT EVENTS</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 preparing the accompanying financial statements, management of the Plan has evaluated all subsequent events and transactions for potential recognition or disclosure through June 18, 2025, the date the financial statements were issued.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010202"/>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- 7 -</w:t>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SUPPLEMENTAL SCHEDULE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FORM 5500, SCHEDULE H, PART IV, LINE 4i—SCHEDULE OF ASSETS (HELD AT END OF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AS OF DECEMBER 31, 2024</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 w:type="dxa"/>
            <w:vAlign w:val="bottom"/>
            <w:tcBorders>
              <w:bottom w:val="single" w:sz="8" w:color="2B4C9B"/>
            </w:tcBorders>
          </w:tcPr>
          <w:p>
            <w:pPr>
              <w:spacing w:after="0"/>
              <w:rPr>
                <w:sz w:val="18"/>
                <w:szCs w:val="18"/>
                <w:color w:val="auto"/>
              </w:rPr>
            </w:pPr>
          </w:p>
        </w:tc>
        <w:tc>
          <w:tcPr>
            <w:tcW w:w="5300" w:type="dxa"/>
            <w:vAlign w:val="bottom"/>
            <w:tcBorders>
              <w:bottom w:val="single" w:sz="8" w:color="2B4C9B"/>
            </w:tcBorders>
          </w:tcPr>
          <w:p>
            <w:pPr>
              <w:spacing w:after="0"/>
              <w:rPr>
                <w:sz w:val="18"/>
                <w:szCs w:val="18"/>
                <w:color w:val="auto"/>
              </w:rPr>
            </w:pPr>
          </w:p>
        </w:tc>
        <w:tc>
          <w:tcPr>
            <w:tcW w:w="3120" w:type="dxa"/>
            <w:vAlign w:val="bottom"/>
            <w:tcBorders>
              <w:bottom w:val="single" w:sz="8" w:color="2B4C9B"/>
            </w:tcBorders>
          </w:tcPr>
          <w:p>
            <w:pPr>
              <w:ind w:left="500"/>
              <w:spacing w:after="0"/>
              <w:rPr>
                <w:sz w:val="20"/>
                <w:szCs w:val="20"/>
                <w:color w:val="auto"/>
              </w:rPr>
            </w:pPr>
            <w:r>
              <w:rPr>
                <w:rFonts w:ascii="Arial" w:cs="Arial" w:eastAsia="Arial" w:hAnsi="Arial"/>
                <w:sz w:val="16"/>
                <w:szCs w:val="16"/>
                <w:b w:val="1"/>
                <w:bCs w:val="1"/>
                <w:color w:val="auto"/>
              </w:rPr>
              <w:t>EIN: 30-6419427</w:t>
            </w:r>
          </w:p>
        </w:tc>
        <w:tc>
          <w:tcPr>
            <w:tcW w:w="1580" w:type="dxa"/>
            <w:vAlign w:val="bottom"/>
            <w:tcBorders>
              <w:bottom w:val="single" w:sz="8" w:color="2B4C9B"/>
            </w:tcBorders>
            <w:gridSpan w:val="2"/>
          </w:tcPr>
          <w:p>
            <w:pPr>
              <w:ind w:left="160"/>
              <w:spacing w:after="0"/>
              <w:rPr>
                <w:sz w:val="20"/>
                <w:szCs w:val="20"/>
                <w:color w:val="auto"/>
              </w:rPr>
            </w:pPr>
            <w:r>
              <w:rPr>
                <w:rFonts w:ascii="Arial" w:cs="Arial" w:eastAsia="Arial" w:hAnsi="Arial"/>
                <w:sz w:val="16"/>
                <w:szCs w:val="16"/>
                <w:b w:val="1"/>
                <w:bCs w:val="1"/>
                <w:color w:val="auto"/>
              </w:rPr>
              <w:t>Plan #001</w:t>
            </w:r>
          </w:p>
        </w:tc>
        <w:tc>
          <w:tcPr>
            <w:tcW w:w="960" w:type="dxa"/>
            <w:vAlign w:val="bottom"/>
            <w:tcBorders>
              <w:bottom w:val="single" w:sz="8" w:color="2B4C9B"/>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3120" w:type="dxa"/>
            <w:vAlign w:val="bottom"/>
          </w:tcPr>
          <w:p>
            <w:pPr>
              <w:jc w:val="center"/>
              <w:ind w:left="259"/>
              <w:spacing w:after="0" w:line="155" w:lineRule="exact"/>
              <w:rPr>
                <w:sz w:val="20"/>
                <w:szCs w:val="20"/>
                <w:color w:val="auto"/>
              </w:rPr>
            </w:pPr>
            <w:r>
              <w:rPr>
                <w:rFonts w:ascii="Arial" w:cs="Arial" w:eastAsia="Arial" w:hAnsi="Arial"/>
                <w:sz w:val="16"/>
                <w:szCs w:val="16"/>
                <w:b w:val="1"/>
                <w:bCs w:val="1"/>
                <w:color w:val="auto"/>
              </w:rPr>
              <w:t>Description of Investment</w:t>
            </w: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300" w:type="dxa"/>
            <w:vAlign w:val="bottom"/>
            <w:vMerge w:val="restart"/>
          </w:tcPr>
          <w:p>
            <w:pPr>
              <w:ind w:left="860"/>
              <w:spacing w:after="0"/>
              <w:rPr>
                <w:sz w:val="20"/>
                <w:szCs w:val="20"/>
                <w:color w:val="auto"/>
              </w:rPr>
            </w:pPr>
            <w:r>
              <w:rPr>
                <w:rFonts w:ascii="Arial" w:cs="Arial" w:eastAsia="Arial" w:hAnsi="Arial"/>
                <w:sz w:val="16"/>
                <w:szCs w:val="16"/>
                <w:b w:val="1"/>
                <w:bCs w:val="1"/>
                <w:color w:val="auto"/>
              </w:rPr>
              <w:t>Identity of Issue, Borrower, Lessor, or Similar Party</w:t>
            </w:r>
          </w:p>
        </w:tc>
        <w:tc>
          <w:tcPr>
            <w:tcW w:w="3120" w:type="dxa"/>
            <w:vAlign w:val="bottom"/>
          </w:tcPr>
          <w:p>
            <w:pPr>
              <w:ind w:left="520"/>
              <w:spacing w:after="0" w:line="162" w:lineRule="exact"/>
              <w:rPr>
                <w:sz w:val="20"/>
                <w:szCs w:val="20"/>
                <w:color w:val="auto"/>
              </w:rPr>
            </w:pPr>
            <w:r>
              <w:rPr>
                <w:rFonts w:ascii="Arial" w:cs="Arial" w:eastAsia="Arial" w:hAnsi="Arial"/>
                <w:sz w:val="16"/>
                <w:szCs w:val="16"/>
                <w:b w:val="1"/>
                <w:bCs w:val="1"/>
                <w:color w:val="auto"/>
              </w:rPr>
              <w:t>Including Maturity Date, Rate of</w:t>
            </w:r>
          </w:p>
        </w:tc>
        <w:tc>
          <w:tcPr>
            <w:tcW w:w="760" w:type="dxa"/>
            <w:vAlign w:val="bottom"/>
            <w:vMerge w:val="restart"/>
          </w:tcPr>
          <w:p>
            <w:pPr>
              <w:jc w:val="center"/>
              <w:ind w:left="319"/>
              <w:spacing w:after="0"/>
              <w:rPr>
                <w:sz w:val="20"/>
                <w:szCs w:val="20"/>
                <w:color w:val="auto"/>
              </w:rPr>
            </w:pPr>
            <w:r>
              <w:rPr>
                <w:rFonts w:ascii="Arial" w:cs="Arial" w:eastAsia="Arial" w:hAnsi="Arial"/>
                <w:sz w:val="16"/>
                <w:szCs w:val="16"/>
                <w:b w:val="1"/>
                <w:bCs w:val="1"/>
                <w:color w:val="auto"/>
              </w:rPr>
              <w:t>Cost</w:t>
            </w:r>
          </w:p>
        </w:tc>
        <w:tc>
          <w:tcPr>
            <w:tcW w:w="178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Current Value</w:t>
            </w:r>
          </w:p>
        </w:tc>
        <w:tc>
          <w:tcPr>
            <w:tcW w:w="0" w:type="dxa"/>
            <w:vAlign w:val="bottom"/>
          </w:tcPr>
          <w:p>
            <w:pPr>
              <w:spacing w:after="0"/>
              <w:rPr>
                <w:sz w:val="1"/>
                <w:szCs w:val="1"/>
                <w:color w:val="auto"/>
              </w:rPr>
            </w:pPr>
          </w:p>
        </w:tc>
      </w:tr>
      <w:tr>
        <w:trPr>
          <w:trHeight w:val="216"/>
        </w:trPr>
        <w:tc>
          <w:tcPr>
            <w:tcW w:w="280" w:type="dxa"/>
            <w:vAlign w:val="bottom"/>
            <w:tcBorders>
              <w:bottom w:val="single" w:sz="8" w:color="2B4C9B"/>
            </w:tcBorders>
          </w:tcPr>
          <w:p>
            <w:pPr>
              <w:spacing w:after="0"/>
              <w:rPr>
                <w:sz w:val="18"/>
                <w:szCs w:val="18"/>
                <w:color w:val="auto"/>
              </w:rPr>
            </w:pPr>
          </w:p>
        </w:tc>
        <w:tc>
          <w:tcPr>
            <w:tcW w:w="5300" w:type="dxa"/>
            <w:vAlign w:val="bottom"/>
            <w:tcBorders>
              <w:bottom w:val="single" w:sz="8" w:color="2B4C9B"/>
            </w:tcBorders>
            <w:vMerge w:val="continue"/>
          </w:tcPr>
          <w:p>
            <w:pPr>
              <w:spacing w:after="0"/>
              <w:rPr>
                <w:sz w:val="18"/>
                <w:szCs w:val="18"/>
                <w:color w:val="auto"/>
              </w:rPr>
            </w:pPr>
          </w:p>
        </w:tc>
        <w:tc>
          <w:tcPr>
            <w:tcW w:w="3120" w:type="dxa"/>
            <w:vAlign w:val="bottom"/>
            <w:tcBorders>
              <w:bottom w:val="single" w:sz="8" w:color="2B4C9B"/>
            </w:tcBorders>
          </w:tcPr>
          <w:p>
            <w:pPr>
              <w:jc w:val="center"/>
              <w:ind w:left="259"/>
              <w:spacing w:after="0"/>
              <w:rPr>
                <w:sz w:val="20"/>
                <w:szCs w:val="20"/>
                <w:color w:val="auto"/>
              </w:rPr>
            </w:pPr>
            <w:r>
              <w:rPr>
                <w:rFonts w:ascii="Arial" w:cs="Arial" w:eastAsia="Arial" w:hAnsi="Arial"/>
                <w:sz w:val="16"/>
                <w:szCs w:val="16"/>
                <w:b w:val="1"/>
                <w:bCs w:val="1"/>
                <w:color w:val="auto"/>
              </w:rPr>
              <w:t>Interest and Collateral</w:t>
            </w:r>
          </w:p>
        </w:tc>
        <w:tc>
          <w:tcPr>
            <w:tcW w:w="760" w:type="dxa"/>
            <w:vAlign w:val="bottom"/>
            <w:tcBorders>
              <w:bottom w:val="single" w:sz="8" w:color="2B4C9B"/>
            </w:tcBorders>
            <w:vMerge w:val="continue"/>
          </w:tcPr>
          <w:p>
            <w:pPr>
              <w:spacing w:after="0"/>
              <w:rPr>
                <w:sz w:val="18"/>
                <w:szCs w:val="18"/>
                <w:color w:val="auto"/>
              </w:rPr>
            </w:pPr>
          </w:p>
        </w:tc>
        <w:tc>
          <w:tcPr>
            <w:tcW w:w="1780" w:type="dxa"/>
            <w:vAlign w:val="bottom"/>
            <w:tcBorders>
              <w:bottom w:val="single" w:sz="8" w:color="2B4C9B"/>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80" w:type="dxa"/>
            <w:vAlign w:val="bottom"/>
            <w:gridSpan w:val="2"/>
          </w:tcPr>
          <w:p>
            <w:pPr>
              <w:jc w:val="center"/>
              <w:ind w:right="519"/>
              <w:spacing w:after="0"/>
              <w:rPr>
                <w:sz w:val="20"/>
                <w:szCs w:val="20"/>
                <w:color w:val="auto"/>
              </w:rPr>
            </w:pPr>
            <w:r>
              <w:rPr>
                <w:rFonts w:ascii="Arial" w:cs="Arial" w:eastAsia="Arial" w:hAnsi="Arial"/>
                <w:sz w:val="18"/>
                <w:szCs w:val="18"/>
                <w:color w:val="auto"/>
                <w:w w:val="99"/>
              </w:rPr>
              <w:t>(in thousands)</w:t>
            </w:r>
          </w:p>
        </w:tc>
        <w:tc>
          <w:tcPr>
            <w:tcW w:w="0" w:type="dxa"/>
            <w:vAlign w:val="bottom"/>
          </w:tcPr>
          <w:p>
            <w:pPr>
              <w:spacing w:after="0"/>
              <w:rPr>
                <w:sz w:val="1"/>
                <w:szCs w:val="1"/>
                <w:color w:val="auto"/>
              </w:rPr>
            </w:pPr>
          </w:p>
        </w:tc>
      </w:tr>
      <w:tr>
        <w:trPr>
          <w:trHeight w:val="216"/>
        </w:trPr>
        <w:tc>
          <w:tcPr>
            <w:tcW w:w="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Science Applications International Corporation common stock</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Company Stock</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shd w:val="clear" w:color="auto" w:fill="CFF0FC"/>
          </w:tcPr>
          <w:p>
            <w:pPr>
              <w:jc w:val="center"/>
              <w:ind w:left="297"/>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108,969</w:t>
            </w: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6"/>
                <w:szCs w:val="16"/>
                <w:color w:val="auto"/>
              </w:rPr>
              <w:t>Dodge &amp; Cox Stock Fund Class X</w:t>
            </w:r>
          </w:p>
        </w:tc>
        <w:tc>
          <w:tcPr>
            <w:tcW w:w="3120" w:type="dxa"/>
            <w:vAlign w:val="bottom"/>
          </w:tcPr>
          <w:p>
            <w:pPr>
              <w:ind w:left="500"/>
              <w:spacing w:after="0"/>
              <w:rPr>
                <w:sz w:val="20"/>
                <w:szCs w:val="20"/>
                <w:color w:val="auto"/>
              </w:rPr>
            </w:pPr>
            <w:r>
              <w:rPr>
                <w:rFonts w:ascii="Arial" w:cs="Arial" w:eastAsia="Arial" w:hAnsi="Arial"/>
                <w:sz w:val="16"/>
                <w:szCs w:val="16"/>
                <w:color w:val="auto"/>
              </w:rPr>
              <w:t>Mutual Fund</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241,676</w:t>
            </w:r>
          </w:p>
        </w:tc>
        <w:tc>
          <w:tcPr>
            <w:tcW w:w="0" w:type="dxa"/>
            <w:vAlign w:val="bottom"/>
          </w:tcPr>
          <w:p>
            <w:pPr>
              <w:spacing w:after="0"/>
              <w:rPr>
                <w:sz w:val="1"/>
                <w:szCs w:val="1"/>
                <w:color w:val="auto"/>
              </w:rPr>
            </w:pPr>
          </w:p>
        </w:tc>
      </w:tr>
      <w:tr>
        <w:trPr>
          <w:trHeight w:val="217"/>
        </w:trPr>
        <w:tc>
          <w:tcPr>
            <w:tcW w:w="280" w:type="dxa"/>
            <w:vAlign w:val="bottom"/>
            <w:shd w:val="clear" w:color="auto" w:fill="CFF0FC"/>
          </w:tcPr>
          <w:p>
            <w:pPr>
              <w:spacing w:after="0"/>
              <w:rPr>
                <w:sz w:val="18"/>
                <w:szCs w:val="18"/>
                <w:color w:val="auto"/>
              </w:rPr>
            </w:pP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 Rowe Price Institutional Mid Cap Equity Growth Fund</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Mutual Fund</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149,313</w:t>
            </w:r>
          </w:p>
        </w:tc>
        <w:tc>
          <w:tcPr>
            <w:tcW w:w="0" w:type="dxa"/>
            <w:vAlign w:val="bottom"/>
          </w:tcPr>
          <w:p>
            <w:pPr>
              <w:spacing w:after="0"/>
              <w:rPr>
                <w:sz w:val="1"/>
                <w:szCs w:val="1"/>
                <w:color w:val="auto"/>
              </w:rPr>
            </w:pPr>
          </w:p>
        </w:tc>
      </w:tr>
      <w:tr>
        <w:trPr>
          <w:trHeight w:val="215"/>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Vanguard FTSE All-World ex-US Index: Institutional Shares</w:t>
            </w:r>
          </w:p>
        </w:tc>
        <w:tc>
          <w:tcPr>
            <w:tcW w:w="3120" w:type="dxa"/>
            <w:vAlign w:val="bottom"/>
          </w:tcPr>
          <w:p>
            <w:pPr>
              <w:ind w:left="500"/>
              <w:spacing w:after="0"/>
              <w:rPr>
                <w:sz w:val="20"/>
                <w:szCs w:val="20"/>
                <w:color w:val="auto"/>
              </w:rPr>
            </w:pPr>
            <w:r>
              <w:rPr>
                <w:rFonts w:ascii="Arial" w:cs="Arial" w:eastAsia="Arial" w:hAnsi="Arial"/>
                <w:sz w:val="16"/>
                <w:szCs w:val="16"/>
                <w:color w:val="auto"/>
              </w:rPr>
              <w:t>Mutual Fund</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198,641</w:t>
            </w:r>
          </w:p>
        </w:tc>
        <w:tc>
          <w:tcPr>
            <w:tcW w:w="0" w:type="dxa"/>
            <w:vAlign w:val="bottom"/>
          </w:tcPr>
          <w:p>
            <w:pPr>
              <w:spacing w:after="0"/>
              <w:rPr>
                <w:sz w:val="1"/>
                <w:szCs w:val="1"/>
                <w:color w:val="auto"/>
              </w:rPr>
            </w:pPr>
          </w:p>
        </w:tc>
      </w:tr>
      <w:tr>
        <w:trPr>
          <w:trHeight w:val="217"/>
        </w:trPr>
        <w:tc>
          <w:tcPr>
            <w:tcW w:w="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Vanguard Federal Money Market Fund</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Mutual Fund</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270,565</w:t>
            </w:r>
          </w:p>
        </w:tc>
        <w:tc>
          <w:tcPr>
            <w:tcW w:w="0" w:type="dxa"/>
            <w:vAlign w:val="bottom"/>
          </w:tcPr>
          <w:p>
            <w:pPr>
              <w:spacing w:after="0"/>
              <w:rPr>
                <w:sz w:val="1"/>
                <w:szCs w:val="1"/>
                <w:color w:val="auto"/>
              </w:rPr>
            </w:pPr>
          </w:p>
        </w:tc>
      </w:tr>
      <w:tr>
        <w:trPr>
          <w:trHeight w:val="215"/>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Vanguard International Growth Fund Admiral Shares</w:t>
            </w:r>
          </w:p>
        </w:tc>
        <w:tc>
          <w:tcPr>
            <w:tcW w:w="3120" w:type="dxa"/>
            <w:vAlign w:val="bottom"/>
          </w:tcPr>
          <w:p>
            <w:pPr>
              <w:ind w:left="500"/>
              <w:spacing w:after="0"/>
              <w:rPr>
                <w:sz w:val="20"/>
                <w:szCs w:val="20"/>
                <w:color w:val="auto"/>
              </w:rPr>
            </w:pPr>
            <w:r>
              <w:rPr>
                <w:rFonts w:ascii="Arial" w:cs="Arial" w:eastAsia="Arial" w:hAnsi="Arial"/>
                <w:sz w:val="16"/>
                <w:szCs w:val="16"/>
                <w:color w:val="auto"/>
              </w:rPr>
              <w:t>Mutual Fund</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119,659</w:t>
            </w:r>
          </w:p>
        </w:tc>
        <w:tc>
          <w:tcPr>
            <w:tcW w:w="0" w:type="dxa"/>
            <w:vAlign w:val="bottom"/>
          </w:tcPr>
          <w:p>
            <w:pPr>
              <w:spacing w:after="0"/>
              <w:rPr>
                <w:sz w:val="1"/>
                <w:szCs w:val="1"/>
                <w:color w:val="auto"/>
              </w:rPr>
            </w:pPr>
          </w:p>
        </w:tc>
      </w:tr>
      <w:tr>
        <w:trPr>
          <w:trHeight w:val="217"/>
        </w:trPr>
        <w:tc>
          <w:tcPr>
            <w:tcW w:w="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Vanguard PRIMECAP Fund Admiral Shares</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Mutual Fund</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373,890</w:t>
            </w:r>
          </w:p>
        </w:tc>
        <w:tc>
          <w:tcPr>
            <w:tcW w:w="0" w:type="dxa"/>
            <w:vAlign w:val="bottom"/>
          </w:tcPr>
          <w:p>
            <w:pPr>
              <w:spacing w:after="0"/>
              <w:rPr>
                <w:sz w:val="1"/>
                <w:szCs w:val="1"/>
                <w:color w:val="auto"/>
              </w:rPr>
            </w:pPr>
          </w:p>
        </w:tc>
      </w:tr>
      <w:tr>
        <w:trPr>
          <w:trHeight w:val="215"/>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Vanguard Short-Term Bond Index Fund Institutional</w:t>
            </w:r>
          </w:p>
        </w:tc>
        <w:tc>
          <w:tcPr>
            <w:tcW w:w="3120" w:type="dxa"/>
            <w:vAlign w:val="bottom"/>
          </w:tcPr>
          <w:p>
            <w:pPr>
              <w:ind w:left="500"/>
              <w:spacing w:after="0"/>
              <w:rPr>
                <w:sz w:val="20"/>
                <w:szCs w:val="20"/>
                <w:color w:val="auto"/>
              </w:rPr>
            </w:pPr>
            <w:r>
              <w:rPr>
                <w:rFonts w:ascii="Arial" w:cs="Arial" w:eastAsia="Arial" w:hAnsi="Arial"/>
                <w:sz w:val="16"/>
                <w:szCs w:val="16"/>
                <w:color w:val="auto"/>
              </w:rPr>
              <w:t>Mutual Fund</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42,822</w:t>
            </w:r>
          </w:p>
        </w:tc>
        <w:tc>
          <w:tcPr>
            <w:tcW w:w="0" w:type="dxa"/>
            <w:vAlign w:val="bottom"/>
          </w:tcPr>
          <w:p>
            <w:pPr>
              <w:spacing w:after="0"/>
              <w:rPr>
                <w:sz w:val="1"/>
                <w:szCs w:val="1"/>
                <w:color w:val="auto"/>
              </w:rPr>
            </w:pPr>
          </w:p>
        </w:tc>
      </w:tr>
      <w:tr>
        <w:trPr>
          <w:trHeight w:val="217"/>
        </w:trPr>
        <w:tc>
          <w:tcPr>
            <w:tcW w:w="280" w:type="dxa"/>
            <w:vAlign w:val="bottom"/>
            <w:shd w:val="clear" w:color="auto" w:fill="CFF0FC"/>
          </w:tcPr>
          <w:p>
            <w:pPr>
              <w:spacing w:after="0"/>
              <w:rPr>
                <w:sz w:val="18"/>
                <w:szCs w:val="18"/>
                <w:color w:val="auto"/>
              </w:rPr>
            </w:pP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Columbia Trust Emerging Markets Equity Fund; Founders Cl</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34,365</w:t>
            </w: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6"/>
                <w:szCs w:val="16"/>
                <w:color w:val="auto"/>
              </w:rPr>
              <w:t>Loomis Sayles Core Plus Fixed Income Trust Class C</w:t>
            </w:r>
          </w:p>
        </w:tc>
        <w:tc>
          <w:tcPr>
            <w:tcW w:w="3120" w:type="dxa"/>
            <w:vAlign w:val="bottom"/>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71,207</w:t>
            </w:r>
          </w:p>
        </w:tc>
        <w:tc>
          <w:tcPr>
            <w:tcW w:w="0" w:type="dxa"/>
            <w:vAlign w:val="bottom"/>
          </w:tcPr>
          <w:p>
            <w:pPr>
              <w:spacing w:after="0"/>
              <w:rPr>
                <w:sz w:val="1"/>
                <w:szCs w:val="1"/>
                <w:color w:val="auto"/>
              </w:rPr>
            </w:pPr>
          </w:p>
        </w:tc>
      </w:tr>
      <w:tr>
        <w:trPr>
          <w:trHeight w:val="217"/>
        </w:trPr>
        <w:tc>
          <w:tcPr>
            <w:tcW w:w="280" w:type="dxa"/>
            <w:vAlign w:val="bottom"/>
            <w:shd w:val="clear" w:color="auto" w:fill="CFF0FC"/>
          </w:tcPr>
          <w:p>
            <w:pPr>
              <w:spacing w:after="0"/>
              <w:rPr>
                <w:sz w:val="18"/>
                <w:szCs w:val="18"/>
                <w:color w:val="auto"/>
              </w:rPr>
            </w:pP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T.Rowe Price Large Cap Growth Class L</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35,628</w:t>
            </w: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6"/>
                <w:szCs w:val="16"/>
                <w:color w:val="auto"/>
              </w:rPr>
              <w:t>T. Rowe Price U.S. Mid Cap-Value Equity Trust; D Class</w:t>
            </w:r>
          </w:p>
        </w:tc>
        <w:tc>
          <w:tcPr>
            <w:tcW w:w="3120" w:type="dxa"/>
            <w:vAlign w:val="bottom"/>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61,457</w:t>
            </w:r>
          </w:p>
        </w:tc>
        <w:tc>
          <w:tcPr>
            <w:tcW w:w="0" w:type="dxa"/>
            <w:vAlign w:val="bottom"/>
          </w:tcPr>
          <w:p>
            <w:pPr>
              <w:spacing w:after="0"/>
              <w:rPr>
                <w:sz w:val="1"/>
                <w:szCs w:val="1"/>
                <w:color w:val="auto"/>
              </w:rPr>
            </w:pPr>
          </w:p>
        </w:tc>
      </w:tr>
      <w:tr>
        <w:trPr>
          <w:trHeight w:val="217"/>
        </w:trPr>
        <w:tc>
          <w:tcPr>
            <w:tcW w:w="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Vanguard Institutional 500 Index Trust</w:t>
            </w:r>
          </w:p>
        </w:tc>
        <w:tc>
          <w:tcPr>
            <w:tcW w:w="3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899,868</w:t>
            </w:r>
          </w:p>
        </w:tc>
        <w:tc>
          <w:tcPr>
            <w:tcW w:w="0" w:type="dxa"/>
            <w:vAlign w:val="bottom"/>
          </w:tcPr>
          <w:p>
            <w:pPr>
              <w:spacing w:after="0"/>
              <w:rPr>
                <w:sz w:val="1"/>
                <w:szCs w:val="1"/>
                <w:color w:val="auto"/>
              </w:rPr>
            </w:pPr>
          </w:p>
        </w:tc>
      </w:tr>
      <w:tr>
        <w:trPr>
          <w:trHeight w:val="215"/>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Vanguard Institutional Extended Market Index Trust</w:t>
            </w:r>
          </w:p>
        </w:tc>
        <w:tc>
          <w:tcPr>
            <w:tcW w:w="3120" w:type="dxa"/>
            <w:vAlign w:val="bottom"/>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241,565</w:t>
            </w:r>
          </w:p>
        </w:tc>
        <w:tc>
          <w:tcPr>
            <w:tcW w:w="0" w:type="dxa"/>
            <w:vAlign w:val="bottom"/>
          </w:tcPr>
          <w:p>
            <w:pPr>
              <w:spacing w:after="0"/>
              <w:rPr>
                <w:sz w:val="1"/>
                <w:szCs w:val="1"/>
                <w:color w:val="auto"/>
              </w:rPr>
            </w:pPr>
          </w:p>
        </w:tc>
      </w:tr>
      <w:tr>
        <w:trPr>
          <w:trHeight w:val="217"/>
        </w:trPr>
        <w:tc>
          <w:tcPr>
            <w:tcW w:w="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Vanguard Institutional Total Bond Market Index Trust</w:t>
            </w:r>
          </w:p>
        </w:tc>
        <w:tc>
          <w:tcPr>
            <w:tcW w:w="3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237,920</w:t>
            </w:r>
          </w:p>
        </w:tc>
        <w:tc>
          <w:tcPr>
            <w:tcW w:w="0" w:type="dxa"/>
            <w:vAlign w:val="bottom"/>
          </w:tcPr>
          <w:p>
            <w:pPr>
              <w:spacing w:after="0"/>
              <w:rPr>
                <w:sz w:val="1"/>
                <w:szCs w:val="1"/>
                <w:color w:val="auto"/>
              </w:rPr>
            </w:pPr>
          </w:p>
        </w:tc>
      </w:tr>
      <w:tr>
        <w:trPr>
          <w:trHeight w:val="215"/>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Vanguard Target Retirement 2020 Trust Plus</w:t>
            </w:r>
          </w:p>
        </w:tc>
        <w:tc>
          <w:tcPr>
            <w:tcW w:w="3120" w:type="dxa"/>
            <w:vAlign w:val="bottom"/>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163,206</w:t>
            </w:r>
          </w:p>
        </w:tc>
        <w:tc>
          <w:tcPr>
            <w:tcW w:w="0" w:type="dxa"/>
            <w:vAlign w:val="bottom"/>
          </w:tcPr>
          <w:p>
            <w:pPr>
              <w:spacing w:after="0"/>
              <w:rPr>
                <w:sz w:val="1"/>
                <w:szCs w:val="1"/>
                <w:color w:val="auto"/>
              </w:rPr>
            </w:pPr>
          </w:p>
        </w:tc>
      </w:tr>
      <w:tr>
        <w:trPr>
          <w:trHeight w:val="217"/>
        </w:trPr>
        <w:tc>
          <w:tcPr>
            <w:tcW w:w="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Vanguard Target Retirement 2025 Trust Plus</w:t>
            </w:r>
          </w:p>
        </w:tc>
        <w:tc>
          <w:tcPr>
            <w:tcW w:w="3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305,476</w:t>
            </w:r>
          </w:p>
        </w:tc>
        <w:tc>
          <w:tcPr>
            <w:tcW w:w="0" w:type="dxa"/>
            <w:vAlign w:val="bottom"/>
          </w:tcPr>
          <w:p>
            <w:pPr>
              <w:spacing w:after="0"/>
              <w:rPr>
                <w:sz w:val="1"/>
                <w:szCs w:val="1"/>
                <w:color w:val="auto"/>
              </w:rPr>
            </w:pPr>
          </w:p>
        </w:tc>
      </w:tr>
      <w:tr>
        <w:trPr>
          <w:trHeight w:val="215"/>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Vanguard Target Retirement 2030 Trust Plus</w:t>
            </w:r>
          </w:p>
        </w:tc>
        <w:tc>
          <w:tcPr>
            <w:tcW w:w="3120" w:type="dxa"/>
            <w:vAlign w:val="bottom"/>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391,129</w:t>
            </w:r>
          </w:p>
        </w:tc>
        <w:tc>
          <w:tcPr>
            <w:tcW w:w="0" w:type="dxa"/>
            <w:vAlign w:val="bottom"/>
          </w:tcPr>
          <w:p>
            <w:pPr>
              <w:spacing w:after="0"/>
              <w:rPr>
                <w:sz w:val="1"/>
                <w:szCs w:val="1"/>
                <w:color w:val="auto"/>
              </w:rPr>
            </w:pPr>
          </w:p>
        </w:tc>
      </w:tr>
      <w:tr>
        <w:trPr>
          <w:trHeight w:val="217"/>
        </w:trPr>
        <w:tc>
          <w:tcPr>
            <w:tcW w:w="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Vanguard Target Retirement 2035 Trust Plus</w:t>
            </w:r>
          </w:p>
        </w:tc>
        <w:tc>
          <w:tcPr>
            <w:tcW w:w="3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297,231</w:t>
            </w:r>
          </w:p>
        </w:tc>
        <w:tc>
          <w:tcPr>
            <w:tcW w:w="0" w:type="dxa"/>
            <w:vAlign w:val="bottom"/>
          </w:tcPr>
          <w:p>
            <w:pPr>
              <w:spacing w:after="0"/>
              <w:rPr>
                <w:sz w:val="1"/>
                <w:szCs w:val="1"/>
                <w:color w:val="auto"/>
              </w:rPr>
            </w:pPr>
          </w:p>
        </w:tc>
      </w:tr>
      <w:tr>
        <w:trPr>
          <w:trHeight w:val="215"/>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Vanguard Target Retirement 2040 Trust Plus</w:t>
            </w:r>
          </w:p>
        </w:tc>
        <w:tc>
          <w:tcPr>
            <w:tcW w:w="3120" w:type="dxa"/>
            <w:vAlign w:val="bottom"/>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239,179</w:t>
            </w:r>
          </w:p>
        </w:tc>
        <w:tc>
          <w:tcPr>
            <w:tcW w:w="0" w:type="dxa"/>
            <w:vAlign w:val="bottom"/>
          </w:tcPr>
          <w:p>
            <w:pPr>
              <w:spacing w:after="0"/>
              <w:rPr>
                <w:sz w:val="1"/>
                <w:szCs w:val="1"/>
                <w:color w:val="auto"/>
              </w:rPr>
            </w:pPr>
          </w:p>
        </w:tc>
      </w:tr>
      <w:tr>
        <w:trPr>
          <w:trHeight w:val="217"/>
        </w:trPr>
        <w:tc>
          <w:tcPr>
            <w:tcW w:w="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Vanguard Target Retirement 2045 Trust Plus</w:t>
            </w:r>
          </w:p>
        </w:tc>
        <w:tc>
          <w:tcPr>
            <w:tcW w:w="3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208,828</w:t>
            </w:r>
          </w:p>
        </w:tc>
        <w:tc>
          <w:tcPr>
            <w:tcW w:w="0" w:type="dxa"/>
            <w:vAlign w:val="bottom"/>
          </w:tcPr>
          <w:p>
            <w:pPr>
              <w:spacing w:after="0"/>
              <w:rPr>
                <w:sz w:val="1"/>
                <w:szCs w:val="1"/>
                <w:color w:val="auto"/>
              </w:rPr>
            </w:pPr>
          </w:p>
        </w:tc>
      </w:tr>
      <w:tr>
        <w:trPr>
          <w:trHeight w:val="215"/>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Vanguard Target Retirement 2050 Trust Plus</w:t>
            </w:r>
          </w:p>
        </w:tc>
        <w:tc>
          <w:tcPr>
            <w:tcW w:w="3120" w:type="dxa"/>
            <w:vAlign w:val="bottom"/>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156,186</w:t>
            </w:r>
          </w:p>
        </w:tc>
        <w:tc>
          <w:tcPr>
            <w:tcW w:w="0" w:type="dxa"/>
            <w:vAlign w:val="bottom"/>
          </w:tcPr>
          <w:p>
            <w:pPr>
              <w:spacing w:after="0"/>
              <w:rPr>
                <w:sz w:val="1"/>
                <w:szCs w:val="1"/>
                <w:color w:val="auto"/>
              </w:rPr>
            </w:pPr>
          </w:p>
        </w:tc>
      </w:tr>
      <w:tr>
        <w:trPr>
          <w:trHeight w:val="217"/>
        </w:trPr>
        <w:tc>
          <w:tcPr>
            <w:tcW w:w="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Vanguard Target Retirement 2055 Trust Plus</w:t>
            </w:r>
          </w:p>
        </w:tc>
        <w:tc>
          <w:tcPr>
            <w:tcW w:w="3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91,084</w:t>
            </w:r>
          </w:p>
        </w:tc>
        <w:tc>
          <w:tcPr>
            <w:tcW w:w="0" w:type="dxa"/>
            <w:vAlign w:val="bottom"/>
          </w:tcPr>
          <w:p>
            <w:pPr>
              <w:spacing w:after="0"/>
              <w:rPr>
                <w:sz w:val="1"/>
                <w:szCs w:val="1"/>
                <w:color w:val="auto"/>
              </w:rPr>
            </w:pPr>
          </w:p>
        </w:tc>
      </w:tr>
      <w:tr>
        <w:trPr>
          <w:trHeight w:val="215"/>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Vanguard Target Retirement 2060 Trust Plus</w:t>
            </w:r>
          </w:p>
        </w:tc>
        <w:tc>
          <w:tcPr>
            <w:tcW w:w="3120" w:type="dxa"/>
            <w:vAlign w:val="bottom"/>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52,513</w:t>
            </w:r>
          </w:p>
        </w:tc>
        <w:tc>
          <w:tcPr>
            <w:tcW w:w="0" w:type="dxa"/>
            <w:vAlign w:val="bottom"/>
          </w:tcPr>
          <w:p>
            <w:pPr>
              <w:spacing w:after="0"/>
              <w:rPr>
                <w:sz w:val="1"/>
                <w:szCs w:val="1"/>
                <w:color w:val="auto"/>
              </w:rPr>
            </w:pPr>
          </w:p>
        </w:tc>
      </w:tr>
      <w:tr>
        <w:trPr>
          <w:trHeight w:val="217"/>
        </w:trPr>
        <w:tc>
          <w:tcPr>
            <w:tcW w:w="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Vanguard Target Retirement 2065 Trust Plus</w:t>
            </w:r>
          </w:p>
        </w:tc>
        <w:tc>
          <w:tcPr>
            <w:tcW w:w="3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18,634</w:t>
            </w:r>
          </w:p>
        </w:tc>
        <w:tc>
          <w:tcPr>
            <w:tcW w:w="0" w:type="dxa"/>
            <w:vAlign w:val="bottom"/>
          </w:tcPr>
          <w:p>
            <w:pPr>
              <w:spacing w:after="0"/>
              <w:rPr>
                <w:sz w:val="1"/>
                <w:szCs w:val="1"/>
                <w:color w:val="auto"/>
              </w:rPr>
            </w:pPr>
          </w:p>
        </w:tc>
      </w:tr>
      <w:tr>
        <w:trPr>
          <w:trHeight w:val="215"/>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Vanguard Target Retirement 2070 Trust Plus</w:t>
            </w:r>
          </w:p>
        </w:tc>
        <w:tc>
          <w:tcPr>
            <w:tcW w:w="3120" w:type="dxa"/>
            <w:vAlign w:val="bottom"/>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2,470</w:t>
            </w:r>
          </w:p>
        </w:tc>
        <w:tc>
          <w:tcPr>
            <w:tcW w:w="0" w:type="dxa"/>
            <w:vAlign w:val="bottom"/>
          </w:tcPr>
          <w:p>
            <w:pPr>
              <w:spacing w:after="0"/>
              <w:rPr>
                <w:sz w:val="1"/>
                <w:szCs w:val="1"/>
                <w:color w:val="auto"/>
              </w:rPr>
            </w:pPr>
          </w:p>
        </w:tc>
      </w:tr>
      <w:tr>
        <w:trPr>
          <w:trHeight w:val="217"/>
        </w:trPr>
        <w:tc>
          <w:tcPr>
            <w:tcW w:w="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Vanguard Target Retirement Income Trust Plus</w:t>
            </w:r>
          </w:p>
        </w:tc>
        <w:tc>
          <w:tcPr>
            <w:tcW w:w="3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104,174</w:t>
            </w: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6"/>
                <w:szCs w:val="16"/>
                <w:color w:val="auto"/>
              </w:rPr>
              <w:t>Wellington Trust Small Cap 2000</w:t>
            </w:r>
          </w:p>
        </w:tc>
        <w:tc>
          <w:tcPr>
            <w:tcW w:w="3120" w:type="dxa"/>
            <w:vAlign w:val="bottom"/>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118,693</w:t>
            </w:r>
          </w:p>
        </w:tc>
        <w:tc>
          <w:tcPr>
            <w:tcW w:w="0" w:type="dxa"/>
            <w:vAlign w:val="bottom"/>
          </w:tcPr>
          <w:p>
            <w:pPr>
              <w:spacing w:after="0"/>
              <w:rPr>
                <w:sz w:val="1"/>
                <w:szCs w:val="1"/>
                <w:color w:val="auto"/>
              </w:rPr>
            </w:pPr>
          </w:p>
        </w:tc>
      </w:tr>
      <w:tr>
        <w:trPr>
          <w:trHeight w:val="217"/>
        </w:trPr>
        <w:tc>
          <w:tcPr>
            <w:tcW w:w="280" w:type="dxa"/>
            <w:vAlign w:val="bottom"/>
            <w:shd w:val="clear" w:color="auto" w:fill="CCEEFF"/>
          </w:tcPr>
          <w:p>
            <w:pPr>
              <w:spacing w:after="0"/>
              <w:rPr>
                <w:sz w:val="18"/>
                <w:szCs w:val="18"/>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Wellington Trust TIPS</w:t>
            </w:r>
          </w:p>
        </w:tc>
        <w:tc>
          <w:tcPr>
            <w:tcW w:w="3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Collective Trust</w:t>
            </w:r>
          </w:p>
        </w:tc>
        <w:tc>
          <w:tcPr>
            <w:tcW w:w="76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19,145</w:t>
            </w: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6"/>
                <w:szCs w:val="16"/>
                <w:color w:val="auto"/>
              </w:rPr>
              <w:t>Self-Directed Brokerage Fund</w:t>
            </w:r>
          </w:p>
        </w:tc>
        <w:tc>
          <w:tcPr>
            <w:tcW w:w="3120" w:type="dxa"/>
            <w:vAlign w:val="bottom"/>
          </w:tcPr>
          <w:p>
            <w:pPr>
              <w:ind w:left="500"/>
              <w:spacing w:after="0"/>
              <w:rPr>
                <w:sz w:val="20"/>
                <w:szCs w:val="20"/>
                <w:color w:val="auto"/>
              </w:rPr>
            </w:pPr>
            <w:r>
              <w:rPr>
                <w:rFonts w:ascii="Arial" w:cs="Arial" w:eastAsia="Arial" w:hAnsi="Arial"/>
                <w:sz w:val="16"/>
                <w:szCs w:val="16"/>
                <w:color w:val="auto"/>
              </w:rPr>
              <w:t>Various</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110,728</w:t>
            </w:r>
          </w:p>
        </w:tc>
        <w:tc>
          <w:tcPr>
            <w:tcW w:w="0" w:type="dxa"/>
            <w:vAlign w:val="bottom"/>
          </w:tcPr>
          <w:p>
            <w:pPr>
              <w:spacing w:after="0"/>
              <w:rPr>
                <w:sz w:val="1"/>
                <w:szCs w:val="1"/>
                <w:color w:val="auto"/>
              </w:rPr>
            </w:pPr>
          </w:p>
        </w:tc>
      </w:tr>
      <w:tr>
        <w:trPr>
          <w:trHeight w:val="163"/>
        </w:trPr>
        <w:tc>
          <w:tcPr>
            <w:tcW w:w="280" w:type="dxa"/>
            <w:vAlign w:val="bottom"/>
            <w:shd w:val="clear" w:color="auto" w:fill="CCEEFF"/>
          </w:tcPr>
          <w:p>
            <w:pPr>
              <w:jc w:val="right"/>
              <w:ind w:right="119"/>
              <w:spacing w:after="0" w:line="163" w:lineRule="exact"/>
              <w:rPr>
                <w:sz w:val="20"/>
                <w:szCs w:val="20"/>
                <w:color w:val="auto"/>
              </w:rPr>
            </w:pPr>
            <w:r>
              <w:rPr>
                <w:rFonts w:ascii="Arial" w:cs="Arial" w:eastAsia="Arial" w:hAnsi="Arial"/>
                <w:sz w:val="16"/>
                <w:szCs w:val="16"/>
                <w:color w:val="auto"/>
                <w:w w:val="95"/>
              </w:rPr>
              <w:t>*</w:t>
            </w:r>
          </w:p>
        </w:tc>
        <w:tc>
          <w:tcPr>
            <w:tcW w:w="5300" w:type="dxa"/>
            <w:vAlign w:val="bottom"/>
            <w:shd w:val="clear" w:color="auto" w:fill="CCEEFF"/>
          </w:tcPr>
          <w:p>
            <w:pPr>
              <w:ind w:left="180"/>
              <w:spacing w:after="0" w:line="163" w:lineRule="exact"/>
              <w:rPr>
                <w:sz w:val="20"/>
                <w:szCs w:val="20"/>
                <w:color w:val="auto"/>
              </w:rPr>
            </w:pPr>
            <w:r>
              <w:rPr>
                <w:rFonts w:ascii="Arial" w:cs="Arial" w:eastAsia="Arial" w:hAnsi="Arial"/>
                <w:sz w:val="16"/>
                <w:szCs w:val="16"/>
                <w:color w:val="auto"/>
              </w:rPr>
              <w:t>Notes Receivable from Participants</w:t>
            </w:r>
          </w:p>
        </w:tc>
        <w:tc>
          <w:tcPr>
            <w:tcW w:w="3120" w:type="dxa"/>
            <w:vAlign w:val="bottom"/>
            <w:shd w:val="clear" w:color="auto" w:fill="CCEEFF"/>
          </w:tcPr>
          <w:p>
            <w:pPr>
              <w:ind w:left="500"/>
              <w:spacing w:after="0" w:line="163" w:lineRule="exact"/>
              <w:rPr>
                <w:sz w:val="20"/>
                <w:szCs w:val="20"/>
                <w:color w:val="auto"/>
              </w:rPr>
            </w:pPr>
            <w:r>
              <w:rPr>
                <w:rFonts w:ascii="Arial" w:cs="Arial" w:eastAsia="Arial" w:hAnsi="Arial"/>
                <w:sz w:val="16"/>
                <w:szCs w:val="16"/>
                <w:color w:val="auto"/>
              </w:rPr>
              <w:t>Loans/Interest rates from 4.25%</w:t>
            </w:r>
          </w:p>
        </w:tc>
        <w:tc>
          <w:tcPr>
            <w:tcW w:w="760" w:type="dxa"/>
            <w:vAlign w:val="bottom"/>
            <w:shd w:val="clear" w:color="auto" w:fill="CCEEFF"/>
          </w:tcPr>
          <w:p>
            <w:pPr>
              <w:jc w:val="center"/>
              <w:ind w:left="319"/>
              <w:spacing w:after="0" w:line="163" w:lineRule="exact"/>
              <w:rPr>
                <w:sz w:val="20"/>
                <w:szCs w:val="20"/>
                <w:color w:val="auto"/>
              </w:rPr>
            </w:pPr>
            <w:r>
              <w:rPr>
                <w:rFonts w:ascii="Arial" w:cs="Arial" w:eastAsia="Arial" w:hAnsi="Arial"/>
                <w:sz w:val="16"/>
                <w:szCs w:val="16"/>
                <w:color w:val="auto"/>
                <w:w w:val="96"/>
              </w:rPr>
              <w:t>**</w:t>
            </w:r>
          </w:p>
        </w:tc>
        <w:tc>
          <w:tcPr>
            <w:tcW w:w="8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31,571</w:t>
            </w:r>
          </w:p>
        </w:tc>
        <w:tc>
          <w:tcPr>
            <w:tcW w:w="0" w:type="dxa"/>
            <w:vAlign w:val="bottom"/>
          </w:tcPr>
          <w:p>
            <w:pPr>
              <w:spacing w:after="0"/>
              <w:rPr>
                <w:sz w:val="1"/>
                <w:szCs w:val="1"/>
                <w:color w:val="auto"/>
              </w:rPr>
            </w:pPr>
          </w:p>
        </w:tc>
      </w:tr>
      <w:tr>
        <w:trPr>
          <w:trHeight w:val="162"/>
        </w:trPr>
        <w:tc>
          <w:tcPr>
            <w:tcW w:w="280" w:type="dxa"/>
            <w:vAlign w:val="bottom"/>
            <w:shd w:val="clear" w:color="auto" w:fill="CCEEFF"/>
          </w:tcPr>
          <w:p>
            <w:pPr>
              <w:spacing w:after="0"/>
              <w:rPr>
                <w:sz w:val="14"/>
                <w:szCs w:val="14"/>
                <w:color w:val="auto"/>
              </w:rPr>
            </w:pPr>
          </w:p>
        </w:tc>
        <w:tc>
          <w:tcPr>
            <w:tcW w:w="5300" w:type="dxa"/>
            <w:vAlign w:val="bottom"/>
            <w:shd w:val="clear" w:color="auto" w:fill="CCEEFF"/>
          </w:tcPr>
          <w:p>
            <w:pPr>
              <w:spacing w:after="0"/>
              <w:rPr>
                <w:sz w:val="14"/>
                <w:szCs w:val="14"/>
                <w:color w:val="auto"/>
              </w:rPr>
            </w:pPr>
          </w:p>
        </w:tc>
        <w:tc>
          <w:tcPr>
            <w:tcW w:w="3120" w:type="dxa"/>
            <w:vAlign w:val="bottom"/>
            <w:shd w:val="clear" w:color="auto" w:fill="CCEEFF"/>
          </w:tcPr>
          <w:p>
            <w:pPr>
              <w:ind w:left="660"/>
              <w:spacing w:after="0" w:line="162" w:lineRule="exact"/>
              <w:rPr>
                <w:sz w:val="20"/>
                <w:szCs w:val="20"/>
                <w:color w:val="auto"/>
              </w:rPr>
            </w:pPr>
            <w:r>
              <w:rPr>
                <w:rFonts w:ascii="Arial" w:cs="Arial" w:eastAsia="Arial" w:hAnsi="Arial"/>
                <w:sz w:val="16"/>
                <w:szCs w:val="16"/>
                <w:color w:val="auto"/>
              </w:rPr>
              <w:t>to 9.50%; maturities from</w:t>
            </w: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0" w:type="dxa"/>
            <w:vAlign w:val="bottom"/>
            <w:tcBorders>
              <w:bottom w:val="single" w:sz="8" w:color="00497F"/>
            </w:tcBorders>
            <w:shd w:val="clear" w:color="auto" w:fill="CCEEFF"/>
          </w:tcPr>
          <w:p>
            <w:pPr>
              <w:spacing w:after="0"/>
              <w:rPr>
                <w:sz w:val="18"/>
                <w:szCs w:val="18"/>
                <w:color w:val="auto"/>
              </w:rPr>
            </w:pPr>
          </w:p>
        </w:tc>
        <w:tc>
          <w:tcPr>
            <w:tcW w:w="5300" w:type="dxa"/>
            <w:vAlign w:val="bottom"/>
            <w:tcBorders>
              <w:bottom w:val="single" w:sz="8" w:color="00497F"/>
            </w:tcBorders>
            <w:shd w:val="clear" w:color="auto" w:fill="CCEEFF"/>
          </w:tcPr>
          <w:p>
            <w:pPr>
              <w:spacing w:after="0"/>
              <w:rPr>
                <w:sz w:val="18"/>
                <w:szCs w:val="18"/>
                <w:color w:val="auto"/>
              </w:rPr>
            </w:pPr>
          </w:p>
        </w:tc>
        <w:tc>
          <w:tcPr>
            <w:tcW w:w="3120" w:type="dxa"/>
            <w:vAlign w:val="bottom"/>
            <w:tcBorders>
              <w:bottom w:val="single" w:sz="8" w:color="00497F"/>
            </w:tcBorders>
            <w:shd w:val="clear" w:color="auto" w:fill="CCEEFF"/>
          </w:tcPr>
          <w:p>
            <w:pPr>
              <w:jc w:val="center"/>
              <w:ind w:left="299"/>
              <w:spacing w:after="0"/>
              <w:rPr>
                <w:sz w:val="20"/>
                <w:szCs w:val="20"/>
                <w:color w:val="auto"/>
              </w:rPr>
            </w:pPr>
            <w:r>
              <w:rPr>
                <w:rFonts w:ascii="Arial" w:cs="Arial" w:eastAsia="Arial" w:hAnsi="Arial"/>
                <w:sz w:val="16"/>
                <w:szCs w:val="16"/>
                <w:color w:val="auto"/>
              </w:rPr>
              <w:t>January 2025 to October 2054</w:t>
            </w:r>
          </w:p>
        </w:tc>
        <w:tc>
          <w:tcPr>
            <w:tcW w:w="760" w:type="dxa"/>
            <w:vAlign w:val="bottom"/>
            <w:tcBorders>
              <w:bottom w:val="single" w:sz="8" w:color="00497F"/>
            </w:tcBorders>
            <w:shd w:val="clear" w:color="auto" w:fill="CCEEFF"/>
          </w:tcPr>
          <w:p>
            <w:pPr>
              <w:spacing w:after="0"/>
              <w:rPr>
                <w:sz w:val="18"/>
                <w:szCs w:val="18"/>
                <w:color w:val="auto"/>
              </w:rPr>
            </w:pPr>
          </w:p>
        </w:tc>
        <w:tc>
          <w:tcPr>
            <w:tcW w:w="820" w:type="dxa"/>
            <w:vAlign w:val="bottom"/>
            <w:tcBorders>
              <w:bottom w:val="single" w:sz="8" w:color="00497F"/>
            </w:tcBorders>
            <w:shd w:val="clear" w:color="auto" w:fill="CCEEFF"/>
          </w:tcPr>
          <w:p>
            <w:pPr>
              <w:spacing w:after="0"/>
              <w:rPr>
                <w:sz w:val="18"/>
                <w:szCs w:val="18"/>
                <w:color w:val="auto"/>
              </w:rPr>
            </w:pPr>
          </w:p>
        </w:tc>
        <w:tc>
          <w:tcPr>
            <w:tcW w:w="960" w:type="dxa"/>
            <w:vAlign w:val="bottom"/>
            <w:tcBorders>
              <w:bottom w:val="single" w:sz="8" w:color="00497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80" w:type="dxa"/>
            <w:vAlign w:val="bottom"/>
            <w:tcBorders>
              <w:bottom w:val="single" w:sz="8" w:color="00497F"/>
            </w:tcBorders>
          </w:tcPr>
          <w:p>
            <w:pPr>
              <w:spacing w:after="0"/>
              <w:rPr>
                <w:sz w:val="20"/>
                <w:szCs w:val="20"/>
                <w:color w:val="auto"/>
              </w:rPr>
            </w:pPr>
          </w:p>
        </w:tc>
        <w:tc>
          <w:tcPr>
            <w:tcW w:w="5300" w:type="dxa"/>
            <w:vAlign w:val="bottom"/>
            <w:tcBorders>
              <w:bottom w:val="single" w:sz="8" w:color="00497F"/>
            </w:tcBorders>
          </w:tcPr>
          <w:p>
            <w:pPr>
              <w:ind w:left="180"/>
              <w:spacing w:after="0"/>
              <w:rPr>
                <w:sz w:val="20"/>
                <w:szCs w:val="20"/>
                <w:color w:val="auto"/>
              </w:rPr>
            </w:pPr>
            <w:r>
              <w:rPr>
                <w:rFonts w:ascii="Arial" w:cs="Arial" w:eastAsia="Arial" w:hAnsi="Arial"/>
                <w:sz w:val="18"/>
                <w:szCs w:val="18"/>
                <w:color w:val="auto"/>
              </w:rPr>
              <w:t>Total</w:t>
            </w:r>
          </w:p>
        </w:tc>
        <w:tc>
          <w:tcPr>
            <w:tcW w:w="3120" w:type="dxa"/>
            <w:vAlign w:val="bottom"/>
            <w:tcBorders>
              <w:bottom w:val="single" w:sz="8" w:color="00497F"/>
            </w:tcBorders>
          </w:tcPr>
          <w:p>
            <w:pPr>
              <w:spacing w:after="0"/>
              <w:rPr>
                <w:sz w:val="20"/>
                <w:szCs w:val="20"/>
                <w:color w:val="auto"/>
              </w:rPr>
            </w:pPr>
          </w:p>
        </w:tc>
        <w:tc>
          <w:tcPr>
            <w:tcW w:w="760" w:type="dxa"/>
            <w:vAlign w:val="bottom"/>
            <w:tcBorders>
              <w:bottom w:val="single" w:sz="8" w:color="00497F"/>
            </w:tcBorders>
          </w:tcPr>
          <w:p>
            <w:pPr>
              <w:spacing w:after="0"/>
              <w:rPr>
                <w:sz w:val="20"/>
                <w:szCs w:val="20"/>
                <w:color w:val="auto"/>
              </w:rPr>
            </w:pPr>
          </w:p>
        </w:tc>
        <w:tc>
          <w:tcPr>
            <w:tcW w:w="820" w:type="dxa"/>
            <w:vAlign w:val="bottom"/>
            <w:tcBorders>
              <w:bottom w:val="single" w:sz="8" w:color="00497F"/>
            </w:tcBorders>
          </w:tcPr>
          <w:p>
            <w:pPr>
              <w:jc w:val="center"/>
              <w:ind w:left="297"/>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00497F"/>
            </w:tcBorders>
          </w:tcPr>
          <w:p>
            <w:pPr>
              <w:jc w:val="right"/>
              <w:spacing w:after="0"/>
              <w:rPr>
                <w:sz w:val="20"/>
                <w:szCs w:val="20"/>
                <w:color w:val="auto"/>
              </w:rPr>
            </w:pPr>
            <w:r>
              <w:rPr>
                <w:rFonts w:ascii="Arial" w:cs="Arial" w:eastAsia="Arial" w:hAnsi="Arial"/>
                <w:sz w:val="16"/>
                <w:szCs w:val="16"/>
                <w:color w:val="auto"/>
              </w:rPr>
              <w:t>5,397,792</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hanging="434"/>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Indicates party-in-interest to the Plan</w:t>
      </w:r>
    </w:p>
    <w:p>
      <w:pPr>
        <w:spacing w:after="0" w:line="32" w:lineRule="exact"/>
        <w:rPr>
          <w:sz w:val="20"/>
          <w:szCs w:val="20"/>
          <w:color w:val="auto"/>
        </w:rPr>
      </w:pPr>
    </w:p>
    <w:p>
      <w:pPr>
        <w:ind w:left="460" w:hanging="434"/>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Not applicable - Historical cost information is not required to be presented, as all investments are participant-directed.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580" w:hanging="118"/>
        <w:spacing w:after="0"/>
        <w:tabs>
          <w:tab w:leader="none" w:pos="5580" w:val="left"/>
        </w:tabs>
        <w:numPr>
          <w:ilvl w:val="1"/>
          <w:numId w:val="9"/>
        </w:numPr>
        <w:rPr>
          <w:rFonts w:ascii="Arial" w:cs="Arial" w:eastAsia="Arial" w:hAnsi="Arial"/>
          <w:sz w:val="18"/>
          <w:szCs w:val="18"/>
          <w:color w:val="2B4C9B"/>
        </w:rPr>
      </w:pPr>
      <w:r>
        <w:rPr>
          <w:rFonts w:ascii="Arial" w:cs="Arial" w:eastAsia="Arial" w:hAnsi="Arial"/>
          <w:sz w:val="18"/>
          <w:szCs w:val="18"/>
          <w:color w:val="2B4C9B"/>
        </w:rPr>
        <w:t>8 -</w:t>
      </w:r>
    </w:p>
    <w:p>
      <w:pPr>
        <w:sectPr>
          <w:pgSz w:w="11900" w:h="16838" w:orient="portrait"/>
          <w:cols w:equalWidth="0" w:num="1">
            <w:col w:w="11240"/>
          </w:cols>
          <w:pgMar w:left="320" w:top="93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2B4C9B"/>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Science Applications International Corporation Benefit Plans Committee has duly caused this annual report to be signed on its behalf by the undersigned hereunto duly authorized.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By: Science Applications International Corporation Benefit Plans Committee</w:t>
      </w:r>
    </w:p>
    <w:p>
      <w:pPr>
        <w:spacing w:after="0" w:line="387" w:lineRule="exact"/>
        <w:rPr>
          <w:sz w:val="20"/>
          <w:szCs w:val="20"/>
          <w:color w:val="auto"/>
        </w:rPr>
      </w:pPr>
    </w:p>
    <w:p>
      <w:pPr>
        <w:ind w:left="40"/>
        <w:spacing w:after="0"/>
        <w:tabs>
          <w:tab w:leader="none" w:pos="7500" w:val="left"/>
        </w:tabs>
        <w:rPr>
          <w:sz w:val="20"/>
          <w:szCs w:val="20"/>
          <w:color w:val="auto"/>
        </w:rPr>
      </w:pPr>
      <w:r>
        <w:rPr>
          <w:rFonts w:ascii="Arial" w:cs="Arial" w:eastAsia="Arial" w:hAnsi="Arial"/>
          <w:sz w:val="18"/>
          <w:szCs w:val="18"/>
          <w:color w:val="auto"/>
        </w:rPr>
        <w:t>Date: June 18, 2025</w:t>
      </w:r>
      <w:r>
        <w:rPr>
          <w:sz w:val="20"/>
          <w:szCs w:val="20"/>
          <w:color w:val="auto"/>
        </w:rPr>
        <w:tab/>
      </w:r>
      <w:r>
        <w:rPr>
          <w:rFonts w:ascii="Arial" w:cs="Arial" w:eastAsia="Arial" w:hAnsi="Arial"/>
          <w:sz w:val="17"/>
          <w:szCs w:val="17"/>
          <w:color w:val="auto"/>
        </w:rPr>
        <w:t>/s/ Paul C. Lehrer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17780</wp:posOffset>
            </wp:positionV>
            <wp:extent cx="38061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6" w:lineRule="exact"/>
        <w:rPr>
          <w:sz w:val="20"/>
          <w:szCs w:val="20"/>
          <w:color w:val="auto"/>
        </w:rPr>
      </w:pPr>
    </w:p>
    <w:p>
      <w:pPr>
        <w:jc w:val="center"/>
        <w:ind w:left="5200"/>
        <w:spacing w:after="0"/>
        <w:rPr>
          <w:sz w:val="20"/>
          <w:szCs w:val="20"/>
          <w:color w:val="auto"/>
        </w:rPr>
      </w:pPr>
      <w:r>
        <w:rPr>
          <w:rFonts w:ascii="Arial" w:cs="Arial" w:eastAsia="Arial" w:hAnsi="Arial"/>
          <w:sz w:val="18"/>
          <w:szCs w:val="18"/>
          <w:b w:val="1"/>
          <w:bCs w:val="1"/>
          <w:color w:val="auto"/>
        </w:rPr>
        <w:t>Paul C. Lehrer</w:t>
      </w:r>
    </w:p>
    <w:p>
      <w:pPr>
        <w:spacing w:after="0" w:line="40" w:lineRule="exact"/>
        <w:rPr>
          <w:sz w:val="20"/>
          <w:szCs w:val="20"/>
          <w:color w:val="auto"/>
        </w:rPr>
      </w:pPr>
    </w:p>
    <w:p>
      <w:pPr>
        <w:jc w:val="center"/>
        <w:ind w:left="5200"/>
        <w:spacing w:after="0"/>
        <w:rPr>
          <w:sz w:val="20"/>
          <w:szCs w:val="20"/>
          <w:color w:val="auto"/>
        </w:rPr>
      </w:pPr>
      <w:r>
        <w:rPr>
          <w:rFonts w:ascii="Arial" w:cs="Arial" w:eastAsia="Arial" w:hAnsi="Arial"/>
          <w:sz w:val="18"/>
          <w:szCs w:val="18"/>
          <w:b w:val="1"/>
          <w:bCs w:val="1"/>
          <w:color w:val="auto"/>
        </w:rPr>
        <w:t>Authorized Official</w:t>
      </w:r>
    </w:p>
    <w:p>
      <w:pPr>
        <w:spacing w:after="0" w:line="23" w:lineRule="exact"/>
        <w:rPr>
          <w:sz w:val="20"/>
          <w:szCs w:val="20"/>
          <w:color w:val="auto"/>
        </w:rPr>
      </w:pPr>
    </w:p>
    <w:p>
      <w:pPr>
        <w:jc w:val="center"/>
        <w:ind w:left="5200"/>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- 9 -</w:t>
      </w:r>
    </w:p>
    <w:p>
      <w:pPr>
        <w:sectPr>
          <w:pgSz w:w="11900" w:h="16838" w:orient="portrait"/>
          <w:cols w:equalWidth="0" w:num="1">
            <w:col w:w="11240"/>
          </w:cols>
          <w:pgMar w:left="320" w:top="931" w:right="339" w:bottom="1440" w:gutter="0" w:footer="0" w:header="0"/>
        </w:sectPr>
      </w:pPr>
    </w:p>
    <w:bookmarkStart w:id="11" w:name="page12"/>
    <w:bookmarkEnd w:id="11"/>
    <w:p>
      <w:pPr>
        <w:ind w:left="4860"/>
        <w:spacing w:after="0"/>
        <w:rPr>
          <w:sz w:val="20"/>
          <w:szCs w:val="20"/>
          <w:color w:val="auto"/>
        </w:rPr>
      </w:pPr>
      <w:r>
        <w:rPr>
          <w:rFonts w:ascii="Arial" w:cs="Arial" w:eastAsia="Arial" w:hAnsi="Arial"/>
          <w:sz w:val="17"/>
          <w:szCs w:val="17"/>
          <w:b w:val="1"/>
          <w:bCs w:val="1"/>
          <w:color w:val="2B4C9B"/>
        </w:rPr>
        <w:t>Exhibit Index</w:t>
      </w:r>
    </w:p>
    <w:p>
      <w:pPr>
        <w:spacing w:after="0" w:line="39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2B4C9B"/>
        </w:rPr>
        <w:t>Exhibit No.</w:t>
      </w:r>
      <w:r>
        <w:rPr>
          <w:sz w:val="20"/>
          <w:szCs w:val="20"/>
          <w:color w:val="auto"/>
        </w:rPr>
        <w:tab/>
      </w:r>
      <w:r>
        <w:rPr>
          <w:rFonts w:ascii="Arial" w:cs="Arial" w:eastAsia="Arial" w:hAnsi="Arial"/>
          <w:sz w:val="17"/>
          <w:szCs w:val="17"/>
          <w:b w:val="1"/>
          <w:bCs w:val="1"/>
          <w:color w:val="2B4C9B"/>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17780</wp:posOffset>
            </wp:positionV>
            <wp:extent cx="7046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5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u w:val="single" w:color="auto"/>
          <w:color w:val="2B4C9B"/>
        </w:rPr>
        <w:t>23.1</w:t>
      </w:r>
      <w:r>
        <w:rPr>
          <w:sz w:val="20"/>
          <w:szCs w:val="20"/>
          <w:color w:val="auto"/>
        </w:rPr>
        <w:tab/>
      </w:r>
      <w:r>
        <w:rPr>
          <w:rFonts w:ascii="Arial" w:cs="Arial" w:eastAsia="Arial" w:hAnsi="Arial"/>
          <w:sz w:val="17"/>
          <w:szCs w:val="17"/>
          <w:u w:val="single" w:color="auto"/>
          <w:color w:val="2B4C9B"/>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20"/>
        <w:spacing w:after="0"/>
        <w:rPr>
          <w:sz w:val="20"/>
          <w:szCs w:val="20"/>
          <w:color w:val="auto"/>
        </w:rPr>
      </w:pPr>
      <w:r>
        <w:rPr>
          <w:rFonts w:ascii="Arial" w:cs="Arial" w:eastAsia="Arial" w:hAnsi="Arial"/>
          <w:sz w:val="18"/>
          <w:szCs w:val="18"/>
          <w:color w:val="2B4C9B"/>
        </w:rPr>
        <w:t>- 10 -</w:t>
      </w:r>
    </w:p>
    <w:p>
      <w:pPr>
        <w:sectPr>
          <w:pgSz w:w="11900" w:h="16838" w:orient="portrait"/>
          <w:cols w:equalWidth="0" w:num="1">
            <w:col w:w="9939"/>
          </w:cols>
          <w:pgMar w:left="520" w:top="931"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010202"/>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202"/>
        </w:rPr>
        <w:t>CONSENT OF INDEPENDENT REGISTERED PUBLIC ACCOUNTING FIRM</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issued our report dated June 18, 2025, with respect to the financial statements and supplemental information included in the Annual Report of Science Applications International Corporation Retirement Plan on Form 11-K for the year ended December 31, 2024. We consent to the incorporation by reference of said report in the Registration Statement of Science Applications International Corporation on Form S-8 (File No. 333-191436).</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010202"/>
        </w:rPr>
        <w:t>/s/ Grant Thornton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010202"/>
        </w:rPr>
        <w:t>Tulsa, Oklahoma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010202"/>
        </w:rPr>
        <w:t>June 18, 2025</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2"/>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1."/>
      <w:numFmt w:val="decimal"/>
      <w:start w:val="4"/>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2025-06-18T16:27:36Z</dcterms:created>
  <dcterms:modified xsi:type="dcterms:W3CDTF">2025-06-18T16:27:36Z</dcterms:modified>
</cp:coreProperties>
</file>