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161925</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168275</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81" w:lineRule="exact"/>
        <w:rPr>
          <w:sz w:val="24"/>
          <w:szCs w:val="24"/>
          <w:color w:val="auto"/>
        </w:rPr>
      </w:pPr>
    </w:p>
    <w:p>
      <w:pPr>
        <w:ind w:left="1440" w:hanging="1301"/>
        <w:spacing w:after="0"/>
        <w:tabs>
          <w:tab w:leader="none" w:pos="1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February 1, 2019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42" w:lineRule="exact"/>
        <w:rPr>
          <w:sz w:val="24"/>
          <w:szCs w:val="24"/>
          <w:color w:val="auto"/>
        </w:rPr>
      </w:pPr>
    </w:p>
    <w:p>
      <w:pPr>
        <w:ind w:left="1280" w:hanging="1177"/>
        <w:spacing w:after="0"/>
        <w:tabs>
          <w:tab w:leader="none" w:pos="12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6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4120" w:type="dxa"/>
            <w:vAlign w:val="bottom"/>
            <w:gridSpan w:val="2"/>
          </w:tcPr>
          <w:p>
            <w:pPr>
              <w:ind w:left="2000"/>
              <w:spacing w:after="0"/>
              <w:rPr>
                <w:sz w:val="20"/>
                <w:szCs w:val="20"/>
                <w:color w:val="auto"/>
              </w:rPr>
            </w:pPr>
            <w:r>
              <w:rPr>
                <w:rFonts w:ascii="Arial" w:cs="Arial" w:eastAsia="Arial" w:hAnsi="Arial"/>
                <w:sz w:val="14"/>
                <w:szCs w:val="14"/>
                <w:color w:val="auto"/>
              </w:rPr>
              <w:t>For the transition period from</w:t>
            </w:r>
          </w:p>
        </w:tc>
        <w:tc>
          <w:tcPr>
            <w:tcW w:w="2280" w:type="dxa"/>
            <w:vAlign w:val="bottom"/>
            <w:gridSpan w:val="2"/>
          </w:tcPr>
          <w:p>
            <w:pPr>
              <w:ind w:left="280"/>
              <w:spacing w:after="0"/>
              <w:rPr>
                <w:sz w:val="20"/>
                <w:szCs w:val="20"/>
                <w:color w:val="auto"/>
              </w:rPr>
            </w:pPr>
            <w:r>
              <w:rPr>
                <w:rFonts w:ascii="Arial" w:cs="Arial" w:eastAsia="Arial" w:hAnsi="Arial"/>
                <w:sz w:val="14"/>
                <w:szCs w:val="14"/>
                <w:color w:val="auto"/>
              </w:rPr>
              <w:t>to</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State or other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jurisdiction of</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b w:val="1"/>
                <w:bCs w:val="1"/>
                <w:color w:val="auto"/>
              </w:rPr>
              <w:t>Commission</w:t>
            </w:r>
          </w:p>
        </w:tc>
        <w:tc>
          <w:tcPr>
            <w:tcW w:w="6400" w:type="dxa"/>
            <w:vAlign w:val="bottom"/>
            <w:gridSpan w:val="4"/>
          </w:tcPr>
          <w:p>
            <w:pPr>
              <w:jc w:val="center"/>
              <w:ind w:left="948"/>
              <w:spacing w:after="0"/>
              <w:rPr>
                <w:sz w:val="20"/>
                <w:szCs w:val="20"/>
                <w:color w:val="auto"/>
              </w:rPr>
            </w:pPr>
            <w:r>
              <w:rPr>
                <w:rFonts w:ascii="Arial" w:cs="Arial" w:eastAsia="Arial" w:hAnsi="Arial"/>
                <w:sz w:val="14"/>
                <w:szCs w:val="14"/>
                <w:b w:val="1"/>
                <w:bCs w:val="1"/>
                <w:color w:val="auto"/>
              </w:rPr>
              <w:t>Exact Name of Registrant as Specified in its Charter, Address of Principal</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incorporation or</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6400" w:type="dxa"/>
            <w:vAlign w:val="bottom"/>
            <w:gridSpan w:val="4"/>
          </w:tcPr>
          <w:p>
            <w:pPr>
              <w:jc w:val="center"/>
              <w:ind w:left="968"/>
              <w:spacing w:after="0"/>
              <w:rPr>
                <w:sz w:val="20"/>
                <w:szCs w:val="20"/>
                <w:color w:val="auto"/>
              </w:rPr>
            </w:pPr>
            <w:r>
              <w:rPr>
                <w:rFonts w:ascii="Arial" w:cs="Arial" w:eastAsia="Arial" w:hAnsi="Arial"/>
                <w:sz w:val="14"/>
                <w:szCs w:val="14"/>
                <w:b w:val="1"/>
                <w:bCs w:val="1"/>
                <w:color w:val="auto"/>
              </w:rPr>
              <w:t>Executive Offices and Telephone Number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organization</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7" w:right="259" w:bottom="1440" w:gutter="0" w:footer="0" w:header="0"/>
        </w:sectPr>
      </w:pPr>
    </w:p>
    <w:tbl>
      <w:tblPr>
        <w:tblLayout w:type="fixed"/>
        <w:tblInd w:w="240" w:type="dxa"/>
        <w:tblCellMar>
          <w:top w:w="0" w:type="dxa"/>
          <w:left w:w="0" w:type="dxa"/>
          <w:bottom w:w="0" w:type="dxa"/>
          <w:right w:w="0" w:type="dxa"/>
        </w:tblCellMar>
      </w:tblPr>
      <w:tr>
        <w:trPr>
          <w:trHeight w:val="188"/>
        </w:trPr>
        <w:tc>
          <w:tcPr>
            <w:tcW w:w="2280" w:type="dxa"/>
            <w:vAlign w:val="bottom"/>
            <w:vMerge w:val="restart"/>
          </w:tcPr>
          <w:p>
            <w:pPr>
              <w:jc w:val="right"/>
              <w:ind w:right="1528"/>
              <w:spacing w:after="0"/>
              <w:rPr>
                <w:sz w:val="20"/>
                <w:szCs w:val="20"/>
                <w:color w:val="auto"/>
              </w:rPr>
            </w:pPr>
            <w:r>
              <w:rPr>
                <w:rFonts w:ascii="Arial" w:cs="Arial" w:eastAsia="Arial" w:hAnsi="Arial"/>
                <w:sz w:val="14"/>
                <w:szCs w:val="14"/>
                <w:color w:val="auto"/>
                <w:w w:val="98"/>
              </w:rPr>
              <w:t>001-35832</w:t>
            </w:r>
          </w:p>
        </w:tc>
        <w:tc>
          <w:tcPr>
            <w:tcW w:w="5180" w:type="dxa"/>
            <w:vAlign w:val="bottom"/>
          </w:tcPr>
          <w:p>
            <w:pPr>
              <w:jc w:val="center"/>
              <w:ind w:left="1486"/>
              <w:spacing w:after="0" w:line="188" w:lineRule="exact"/>
              <w:rPr>
                <w:sz w:val="20"/>
                <w:szCs w:val="20"/>
                <w:color w:val="auto"/>
              </w:rPr>
            </w:pPr>
            <w:r>
              <w:rPr>
                <w:rFonts w:ascii="Arial" w:cs="Arial" w:eastAsia="Arial" w:hAnsi="Arial"/>
                <w:sz w:val="21"/>
                <w:szCs w:val="21"/>
                <w:color w:val="auto"/>
              </w:rPr>
              <w:t>Science Applications</w:t>
            </w:r>
          </w:p>
        </w:tc>
        <w:tc>
          <w:tcPr>
            <w:tcW w:w="0" w:type="dxa"/>
            <w:vAlign w:val="bottom"/>
          </w:tcPr>
          <w:p>
            <w:pPr>
              <w:spacing w:after="0"/>
              <w:rPr>
                <w:sz w:val="1"/>
                <w:szCs w:val="1"/>
                <w:color w:val="auto"/>
              </w:rPr>
            </w:pPr>
          </w:p>
        </w:tc>
      </w:tr>
      <w:tr>
        <w:trPr>
          <w:trHeight w:val="42"/>
        </w:trPr>
        <w:tc>
          <w:tcPr>
            <w:tcW w:w="2280" w:type="dxa"/>
            <w:vAlign w:val="bottom"/>
            <w:vMerge w:val="continue"/>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4"/>
        </w:trPr>
        <w:tc>
          <w:tcPr>
            <w:tcW w:w="2280" w:type="dxa"/>
            <w:vAlign w:val="bottom"/>
          </w:tcPr>
          <w:p>
            <w:pPr>
              <w:spacing w:after="0"/>
              <w:rPr>
                <w:sz w:val="24"/>
                <w:szCs w:val="24"/>
                <w:color w:val="auto"/>
              </w:rPr>
            </w:pPr>
          </w:p>
        </w:tc>
        <w:tc>
          <w:tcPr>
            <w:tcW w:w="5180" w:type="dxa"/>
            <w:vAlign w:val="bottom"/>
          </w:tcPr>
          <w:p>
            <w:pPr>
              <w:jc w:val="center"/>
              <w:ind w:left="1486"/>
              <w:spacing w:after="0"/>
              <w:rPr>
                <w:sz w:val="20"/>
                <w:szCs w:val="20"/>
                <w:color w:val="auto"/>
              </w:rPr>
            </w:pPr>
            <w:r>
              <w:rPr>
                <w:rFonts w:ascii="Arial" w:cs="Arial" w:eastAsia="Arial" w:hAnsi="Arial"/>
                <w:sz w:val="32"/>
                <w:szCs w:val="32"/>
                <w:color w:val="auto"/>
              </w:rPr>
              <w:t>International Corporation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tabs>
          <w:tab w:leader="none" w:pos="1320" w:val="left"/>
        </w:tabs>
        <w:rPr>
          <w:sz w:val="20"/>
          <w:szCs w:val="20"/>
          <w:color w:val="auto"/>
        </w:rPr>
      </w:pPr>
      <w:r>
        <w:rPr>
          <w:rFonts w:ascii="Arial" w:cs="Arial" w:eastAsia="Arial" w:hAnsi="Arial"/>
          <w:sz w:val="14"/>
          <w:szCs w:val="14"/>
          <w:color w:val="auto"/>
        </w:rPr>
        <w:t>Delaware</w:t>
      </w:r>
      <w:r>
        <w:rPr>
          <w:sz w:val="20"/>
          <w:szCs w:val="20"/>
          <w:color w:val="auto"/>
        </w:rPr>
        <w:tab/>
      </w:r>
      <w:r>
        <w:rPr>
          <w:rFonts w:ascii="Arial" w:cs="Arial" w:eastAsia="Arial" w:hAnsi="Arial"/>
          <w:sz w:val="14"/>
          <w:szCs w:val="14"/>
          <w:color w:val="auto"/>
        </w:rPr>
        <w:t>46-1932921</w:t>
      </w:r>
    </w:p>
    <w:p>
      <w:pPr>
        <w:spacing w:after="0" w:line="626" w:lineRule="exact"/>
        <w:rPr>
          <w:sz w:val="24"/>
          <w:szCs w:val="24"/>
          <w:color w:val="auto"/>
        </w:rPr>
      </w:pPr>
    </w:p>
    <w:p>
      <w:pPr>
        <w:sectPr>
          <w:pgSz w:w="11900" w:h="16838" w:orient="portrait"/>
          <w:cols w:equalWidth="0" w:num="2">
            <w:col w:w="8300" w:space="720"/>
            <w:col w:w="2380"/>
          </w:cols>
          <w:pgMar w:left="240" w:top="527" w:right="259" w:bottom="1440" w:gutter="0" w:footer="0" w:header="0"/>
          <w:type w:val="continuous"/>
        </w:sectPr>
      </w:pPr>
    </w:p>
    <w:p>
      <w:pPr>
        <w:jc w:val="center"/>
        <w:ind w:left="420"/>
        <w:spacing w:after="0"/>
        <w:rPr>
          <w:sz w:val="20"/>
          <w:szCs w:val="20"/>
          <w:color w:val="auto"/>
        </w:rPr>
      </w:pPr>
      <w:r>
        <w:rPr>
          <w:rFonts w:ascii="Arial" w:cs="Arial" w:eastAsia="Arial" w:hAnsi="Arial"/>
          <w:sz w:val="16"/>
          <w:szCs w:val="16"/>
          <w:b w:val="1"/>
          <w:bCs w:val="1"/>
          <w:color w:val="auto"/>
        </w:rPr>
        <w:t>12010 Sunset Hills Road, Reston, VA 20190</w:t>
      </w:r>
    </w:p>
    <w:p>
      <w:pPr>
        <w:spacing w:after="0" w:line="275" w:lineRule="exact"/>
        <w:rPr>
          <w:sz w:val="24"/>
          <w:szCs w:val="24"/>
          <w:color w:val="auto"/>
        </w:rPr>
      </w:pPr>
    </w:p>
    <w:p>
      <w:pPr>
        <w:jc w:val="center"/>
        <w:ind w:left="420"/>
        <w:spacing w:after="0"/>
        <w:rPr>
          <w:sz w:val="20"/>
          <w:szCs w:val="20"/>
          <w:color w:val="auto"/>
        </w:rPr>
      </w:pPr>
      <w:r>
        <w:rPr>
          <w:rFonts w:ascii="Arial" w:cs="Arial" w:eastAsia="Arial" w:hAnsi="Arial"/>
          <w:sz w:val="16"/>
          <w:szCs w:val="16"/>
          <w:b w:val="1"/>
          <w:bCs w:val="1"/>
          <w:color w:val="auto"/>
        </w:rPr>
        <w:t>703-676-4300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194945</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64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rPr>
              <w:t>Title of each class</w:t>
            </w:r>
          </w:p>
        </w:tc>
        <w:tc>
          <w:tcPr>
            <w:tcW w:w="4260" w:type="dxa"/>
            <w:vAlign w:val="bottom"/>
            <w:gridSpan w:val="3"/>
          </w:tcPr>
          <w:p>
            <w:pPr>
              <w:jc w:val="center"/>
              <w:ind w:left="11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84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rPr>
              <w:t>Science Applications International Corporation</w:t>
            </w:r>
          </w:p>
        </w:tc>
        <w:tc>
          <w:tcPr>
            <w:tcW w:w="1220" w:type="dxa"/>
            <w:vAlign w:val="bottom"/>
          </w:tcPr>
          <w:p>
            <w:pPr>
              <w:spacing w:after="0"/>
              <w:rPr>
                <w:sz w:val="19"/>
                <w:szCs w:val="19"/>
                <w:color w:val="auto"/>
              </w:rPr>
            </w:pPr>
          </w:p>
        </w:tc>
        <w:tc>
          <w:tcPr>
            <w:tcW w:w="3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New York Stock Exchange</w:t>
            </w:r>
          </w:p>
        </w:tc>
      </w:tr>
      <w:tr>
        <w:trPr>
          <w:trHeight w:val="215"/>
        </w:trPr>
        <w:tc>
          <w:tcPr>
            <w:tcW w:w="484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rPr>
              <w:t>Common Stock, Par Value $.0001 Per Share</w:t>
            </w:r>
          </w:p>
        </w:tc>
        <w:tc>
          <w:tcPr>
            <w:tcW w:w="1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177800</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11400"/>
          </w:cols>
          <w:pgMar w:left="240" w:top="527" w:right="25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73" w:lineRule="exact"/>
        <w:rPr>
          <w:sz w:val="24"/>
          <w:szCs w:val="24"/>
          <w:color w:val="auto"/>
        </w:rPr>
      </w:pPr>
    </w:p>
    <w:p>
      <w:pPr>
        <w:ind w:left="40" w:right="4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4"/>
          <w:szCs w:val="24"/>
          <w:color w:val="auto"/>
        </w:rPr>
      </w:pPr>
    </w:p>
    <w:p>
      <w:pPr>
        <w:ind w:left="40" w:right="22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9" w:lineRule="exact"/>
        <w:rPr>
          <w:sz w:val="24"/>
          <w:szCs w:val="24"/>
          <w:color w:val="auto"/>
        </w:rPr>
      </w:pPr>
    </w:p>
    <w:p>
      <w:pPr>
        <w:ind w:left="4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39" w:lineRule="exact"/>
        <w:rPr>
          <w:sz w:val="24"/>
          <w:szCs w:val="24"/>
          <w:color w:val="auto"/>
        </w:rPr>
      </w:pPr>
    </w:p>
    <w:p>
      <w:pPr>
        <w:ind w:left="40"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ind w:left="19"/>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r>
      <w:tr>
        <w:trPr>
          <w:trHeight w:val="249"/>
        </w:trPr>
        <w:tc>
          <w:tcPr>
            <w:tcW w:w="540" w:type="dxa"/>
            <w:vAlign w:val="bottom"/>
          </w:tcPr>
          <w:p>
            <w:pPr>
              <w:jc w:val="center"/>
              <w:ind w:right="1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4"/>
                <w:szCs w:val="14"/>
                <w:color w:val="auto"/>
                <w:w w:val="95"/>
              </w:rPr>
              <w:t>☐</w:t>
            </w:r>
          </w:p>
        </w:tc>
        <w:tc>
          <w:tcPr>
            <w:tcW w:w="500" w:type="dxa"/>
            <w:vAlign w:val="bottom"/>
          </w:tcPr>
          <w:p>
            <w:pPr>
              <w:jc w:val="center"/>
              <w:spacing w:after="0"/>
              <w:rPr>
                <w:sz w:val="20"/>
                <w:szCs w:val="20"/>
                <w:color w:val="auto"/>
              </w:rPr>
            </w:pPr>
            <w:r>
              <w:rPr>
                <w:rFonts w:ascii="Arial" w:cs="Arial" w:eastAsia="Arial" w:hAnsi="Arial"/>
                <w:sz w:val="16"/>
                <w:szCs w:val="16"/>
                <w:color w:val="auto"/>
              </w:rPr>
              <w:t>No x</w:t>
            </w:r>
          </w:p>
        </w:tc>
      </w:tr>
      <w:tr>
        <w:trPr>
          <w:trHeight w:val="621"/>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4"/>
                <w:szCs w:val="14"/>
                <w:color w:val="auto"/>
                <w:w w:val="97"/>
              </w:rPr>
              <w:t>☐</w:t>
            </w:r>
          </w:p>
        </w:tc>
      </w:tr>
      <w:tr>
        <w:trPr>
          <w:trHeight w:val="621"/>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4"/>
                <w:szCs w:val="14"/>
                <w:color w:val="auto"/>
                <w:w w:val="97"/>
              </w:rPr>
              <w:t>☐</w:t>
            </w:r>
          </w:p>
        </w:tc>
      </w:tr>
      <w:tr>
        <w:trPr>
          <w:trHeight w:val="598"/>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500" w:type="dxa"/>
            <w:vAlign w:val="bottom"/>
          </w:tcPr>
          <w:p>
            <w:pPr>
              <w:spacing w:after="0"/>
              <w:rPr>
                <w:sz w:val="24"/>
                <w:szCs w:val="24"/>
                <w:color w:val="auto"/>
              </w:rPr>
            </w:pPr>
          </w:p>
        </w:tc>
      </w:tr>
    </w:tbl>
    <w:p>
      <w:pPr>
        <w:spacing w:after="0" w:line="843" w:lineRule="exact"/>
        <w:rPr>
          <w:sz w:val="24"/>
          <w:szCs w:val="24"/>
          <w:color w:val="auto"/>
        </w:rPr>
      </w:pPr>
    </w:p>
    <w:p>
      <w:pPr>
        <w:sectPr>
          <w:pgSz w:w="11900" w:h="16838" w:orient="portrait"/>
          <w:cols w:equalWidth="0" w:num="2">
            <w:col w:w="10140" w:space="160"/>
            <w:col w:w="1100"/>
          </w:cols>
          <w:pgMar w:left="240" w:top="527" w:right="259" w:bottom="1440" w:gutter="0" w:footer="0" w:header="0"/>
          <w:type w:val="continuous"/>
        </w:sectPr>
      </w:pPr>
    </w:p>
    <w:p>
      <w:pPr>
        <w:spacing w:after="0" w:line="129" w:lineRule="exact"/>
        <w:rPr>
          <w:sz w:val="24"/>
          <w:szCs w:val="24"/>
          <w:color w:val="auto"/>
        </w:rPr>
      </w:pPr>
    </w:p>
    <w:p>
      <w:pPr>
        <w:ind w:left="40"/>
        <w:spacing w:after="0" w:line="184" w:lineRule="exact"/>
        <w:tabs>
          <w:tab w:leader="none" w:pos="2700" w:val="left"/>
          <w:tab w:leader="none" w:pos="3120" w:val="left"/>
          <w:tab w:leader="none" w:pos="5520" w:val="left"/>
          <w:tab w:leader="none" w:pos="5980" w:val="left"/>
          <w:tab w:leader="none" w:pos="8380" w:val="left"/>
          <w:tab w:leader="none" w:pos="8840" w:val="left"/>
          <w:tab w:leader="none" w:pos="112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73" w:lineRule="exact"/>
        <w:rPr>
          <w:sz w:val="24"/>
          <w:szCs w:val="24"/>
          <w:color w:val="auto"/>
        </w:rPr>
      </w:pPr>
    </w:p>
    <w:p>
      <w:pPr>
        <w:ind w:left="8860"/>
        <w:spacing w:after="0" w:line="184" w:lineRule="exact"/>
        <w:tabs>
          <w:tab w:leader="none" w:pos="112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56" w:lineRule="exact"/>
        <w:rPr>
          <w:sz w:val="24"/>
          <w:szCs w:val="24"/>
          <w:color w:val="auto"/>
        </w:rPr>
      </w:pPr>
    </w:p>
    <w:p>
      <w:pPr>
        <w:ind w:left="40" w:right="260"/>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0"/>
        <w:spacing w:after="0" w:line="322" w:lineRule="exact"/>
        <w:tabs>
          <w:tab w:leader="none" w:pos="8880" w:val="left"/>
          <w:tab w:leader="none" w:pos="9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6"/>
          <w:szCs w:val="16"/>
          <w:color w:val="auto"/>
        </w:rPr>
        <w:t>No x</w:t>
      </w:r>
    </w:p>
    <w:p>
      <w:pPr>
        <w:spacing w:after="0" w:line="95"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As of August 3, 2018 (the last business day of the registrant’s most recently completed second quarter), the aggregate market value of the registrant’s common stock (based upon the closing stock price) held by non-affiliates was $3.4 billion.</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issued and outstanding of the registrant’s common stock as of March 8, 2019 was 59,320,566 shares ($.0001 par value per share).</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500"/>
        <w:spacing w:after="0" w:line="260" w:lineRule="auto"/>
        <w:rPr>
          <w:sz w:val="20"/>
          <w:szCs w:val="20"/>
          <w:color w:val="auto"/>
        </w:rPr>
      </w:pPr>
      <w:r>
        <w:rPr>
          <w:rFonts w:ascii="Arial" w:cs="Arial" w:eastAsia="Arial" w:hAnsi="Arial"/>
          <w:sz w:val="16"/>
          <w:szCs w:val="16"/>
          <w:color w:val="auto"/>
        </w:rPr>
        <w:t>Portions of Science Applications International Corporation’s Definitive Proxy Statement for the 2019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7"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FORM 10-K</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303530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243"/>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22"/>
          </w:tcPr>
          <w:p>
            <w:pPr>
              <w:spacing w:after="0"/>
              <w:rPr>
                <w:rFonts w:ascii="Arial" w:cs="Arial" w:eastAsia="Arial" w:hAnsi="Arial"/>
                <w:sz w:val="18"/>
                <w:szCs w:val="18"/>
                <w:color w:val="2B4C9B"/>
              </w:rPr>
            </w:pPr>
            <w:hyperlink w:anchor="page3">
              <w:r>
                <w:rPr>
                  <w:rFonts w:ascii="Arial" w:cs="Arial" w:eastAsia="Arial" w:hAnsi="Arial"/>
                  <w:sz w:val="18"/>
                  <w:szCs w:val="18"/>
                  <w:color w:val="2B4C9B"/>
                </w:rPr>
                <w:t>Business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3">
              <w:r>
                <w:rPr>
                  <w:rFonts w:ascii="Arial" w:cs="Arial" w:eastAsia="Arial" w:hAnsi="Arial"/>
                  <w:sz w:val="18"/>
                  <w:szCs w:val="18"/>
                  <w:color w:val="2B4C9B"/>
                </w:rPr>
                <w:t>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2B4C9B"/>
                <w:w w:val="97"/>
              </w:rPr>
            </w:pPr>
            <w:hyperlink w:anchor="page9">
              <w:r>
                <w:rPr>
                  <w:rFonts w:ascii="Arial" w:cs="Arial" w:eastAsia="Arial" w:hAnsi="Arial"/>
                  <w:sz w:val="18"/>
                  <w:szCs w:val="18"/>
                  <w:color w:val="2B4C9B"/>
                  <w:w w:val="97"/>
                </w:rPr>
                <w:t>Risk Factors</w:t>
              </w:r>
            </w:hyperlink>
          </w:p>
        </w:tc>
        <w:tc>
          <w:tcPr>
            <w:tcW w:w="8660" w:type="dxa"/>
            <w:vAlign w:val="bottom"/>
            <w:gridSpan w:val="19"/>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9">
              <w:r>
                <w:rPr>
                  <w:rFonts w:ascii="Arial" w:cs="Arial" w:eastAsia="Arial" w:hAnsi="Arial"/>
                  <w:sz w:val="18"/>
                  <w:szCs w:val="18"/>
                  <w:color w:val="2B4C9B"/>
                </w:rPr>
                <w:t>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660" w:type="dxa"/>
            <w:vAlign w:val="bottom"/>
            <w:gridSpan w:val="22"/>
          </w:tcPr>
          <w:p>
            <w:pPr>
              <w:spacing w:after="0"/>
              <w:rPr>
                <w:rFonts w:ascii="Arial" w:cs="Arial" w:eastAsia="Arial" w:hAnsi="Arial"/>
                <w:sz w:val="18"/>
                <w:szCs w:val="18"/>
                <w:color w:val="2B4C9B"/>
              </w:rPr>
            </w:pPr>
            <w:hyperlink w:anchor="page19">
              <w:r>
                <w:rPr>
                  <w:rFonts w:ascii="Arial" w:cs="Arial" w:eastAsia="Arial" w:hAnsi="Arial"/>
                  <w:sz w:val="18"/>
                  <w:szCs w:val="18"/>
                  <w:color w:val="2B4C9B"/>
                </w:rPr>
                <w:t>Unresolved Staff Comments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rFonts w:ascii="Arial" w:cs="Arial" w:eastAsia="Arial" w:hAnsi="Arial"/>
                <w:sz w:val="18"/>
                <w:szCs w:val="18"/>
                <w:color w:val="2B4C9B"/>
                <w:w w:val="97"/>
              </w:rPr>
            </w:pPr>
            <w:hyperlink w:anchor="page19">
              <w:r>
                <w:rPr>
                  <w:rFonts w:ascii="Arial" w:cs="Arial" w:eastAsia="Arial" w:hAnsi="Arial"/>
                  <w:sz w:val="18"/>
                  <w:szCs w:val="18"/>
                  <w:color w:val="2B4C9B"/>
                  <w:w w:val="97"/>
                </w:rPr>
                <w:t>Properties</w:t>
              </w:r>
            </w:hyperlink>
          </w:p>
        </w:tc>
        <w:tc>
          <w:tcPr>
            <w:tcW w:w="1420" w:type="dxa"/>
            <w:vAlign w:val="bottom"/>
            <w:gridSpan w:val="8"/>
          </w:tcPr>
          <w:p>
            <w:pPr>
              <w:spacing w:after="0"/>
              <w:rPr>
                <w:sz w:val="20"/>
                <w:szCs w:val="20"/>
                <w:color w:val="auto"/>
              </w:rPr>
            </w:pPr>
          </w:p>
        </w:tc>
        <w:tc>
          <w:tcPr>
            <w:tcW w:w="7420" w:type="dxa"/>
            <w:vAlign w:val="bottom"/>
            <w:gridSpan w:val="12"/>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2"/>
          </w:tcPr>
          <w:p>
            <w:pPr>
              <w:spacing w:after="0"/>
              <w:rPr>
                <w:rFonts w:ascii="Arial" w:cs="Arial" w:eastAsia="Arial" w:hAnsi="Arial"/>
                <w:sz w:val="18"/>
                <w:szCs w:val="18"/>
                <w:color w:val="2B4C9B"/>
              </w:rPr>
            </w:pPr>
            <w:hyperlink w:anchor="page19">
              <w:r>
                <w:rPr>
                  <w:rFonts w:ascii="Arial" w:cs="Arial" w:eastAsia="Arial" w:hAnsi="Arial"/>
                  <w:sz w:val="18"/>
                  <w:szCs w:val="18"/>
                  <w:color w:val="2B4C9B"/>
                </w:rPr>
                <w:t>Legal Proceedings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2"/>
          </w:tcPr>
          <w:p>
            <w:pPr>
              <w:spacing w:after="0"/>
              <w:rPr>
                <w:rFonts w:ascii="Arial" w:cs="Arial" w:eastAsia="Arial" w:hAnsi="Arial"/>
                <w:sz w:val="18"/>
                <w:szCs w:val="18"/>
                <w:color w:val="2B4C9B"/>
              </w:rPr>
            </w:pPr>
            <w:hyperlink w:anchor="page19">
              <w:r>
                <w:rPr>
                  <w:rFonts w:ascii="Arial" w:cs="Arial" w:eastAsia="Arial" w:hAnsi="Arial"/>
                  <w:sz w:val="18"/>
                  <w:szCs w:val="18"/>
                  <w:color w:val="2B4C9B"/>
                </w:rPr>
                <w:t>Mine Safety Disclosures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II</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40" w:type="dxa"/>
            <w:vAlign w:val="bottom"/>
            <w:tcBorders>
              <w:top w:val="single" w:sz="8" w:color="2B4C9B"/>
            </w:tcBorders>
          </w:tcPr>
          <w:p>
            <w:pPr>
              <w:spacing w:after="0"/>
              <w:rPr>
                <w:sz w:val="24"/>
                <w:szCs w:val="24"/>
                <w:color w:val="auto"/>
              </w:rPr>
            </w:pPr>
          </w:p>
        </w:tc>
        <w:tc>
          <w:tcPr>
            <w:tcW w:w="20" w:type="dxa"/>
            <w:vAlign w:val="bottom"/>
            <w:tcBorders>
              <w:top w:val="single" w:sz="8" w:color="2B4C9B"/>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21"/>
          </w:tcPr>
          <w:p>
            <w:pPr>
              <w:spacing w:after="0"/>
              <w:rPr>
                <w:rFonts w:ascii="Arial" w:cs="Arial" w:eastAsia="Arial" w:hAnsi="Arial"/>
                <w:sz w:val="18"/>
                <w:szCs w:val="18"/>
                <w:color w:val="2B4C9B"/>
                <w:w w:val="99"/>
              </w:rPr>
            </w:pPr>
            <w:hyperlink w:anchor="page20">
              <w:r>
                <w:rPr>
                  <w:rFonts w:ascii="Arial" w:cs="Arial" w:eastAsia="Arial" w:hAnsi="Arial"/>
                  <w:sz w:val="18"/>
                  <w:szCs w:val="18"/>
                  <w:color w:val="2B4C9B"/>
                  <w:w w:val="99"/>
                </w:rPr>
                <w:t>Market for Registrant’s Common Equity, Related Stockholder Matters and Issuer Purchases of Equity Securities</w:t>
              </w:r>
            </w:hyperlink>
          </w:p>
        </w:tc>
        <w:tc>
          <w:tcPr>
            <w:tcW w:w="780" w:type="dxa"/>
            <w:vAlign w:val="bottom"/>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20">
              <w:r>
                <w:rPr>
                  <w:rFonts w:ascii="Arial" w:cs="Arial" w:eastAsia="Arial" w:hAnsi="Arial"/>
                  <w:sz w:val="18"/>
                  <w:szCs w:val="18"/>
                  <w:color w:val="2B4C9B"/>
                </w:rPr>
                <w:t>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80" w:type="dxa"/>
            <w:vAlign w:val="bottom"/>
            <w:gridSpan w:val="2"/>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88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900" w:type="dxa"/>
            <w:vAlign w:val="bottom"/>
            <w:gridSpan w:val="7"/>
          </w:tcPr>
          <w:p>
            <w:pPr>
              <w:spacing w:after="0"/>
              <w:rPr>
                <w:rFonts w:ascii="Arial" w:cs="Arial" w:eastAsia="Arial" w:hAnsi="Arial"/>
                <w:sz w:val="18"/>
                <w:szCs w:val="18"/>
                <w:color w:val="2B4C9B"/>
                <w:w w:val="98"/>
              </w:rPr>
            </w:pPr>
            <w:hyperlink w:anchor="page22">
              <w:r>
                <w:rPr>
                  <w:rFonts w:ascii="Arial" w:cs="Arial" w:eastAsia="Arial" w:hAnsi="Arial"/>
                  <w:sz w:val="18"/>
                  <w:szCs w:val="18"/>
                  <w:color w:val="2B4C9B"/>
                  <w:w w:val="98"/>
                </w:rPr>
                <w:t>Selected Financial Data</w:t>
              </w:r>
            </w:hyperlink>
          </w:p>
        </w:tc>
        <w:tc>
          <w:tcPr>
            <w:tcW w:w="6980" w:type="dxa"/>
            <w:vAlign w:val="bottom"/>
            <w:gridSpan w:val="14"/>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22">
              <w:r>
                <w:rPr>
                  <w:rFonts w:ascii="Arial" w:cs="Arial" w:eastAsia="Arial" w:hAnsi="Arial"/>
                  <w:sz w:val="18"/>
                  <w:szCs w:val="18"/>
                  <w:color w:val="2B4C9B"/>
                </w:rPr>
                <w:t>20</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2B4C9B"/>
                <w:w w:val="99"/>
              </w:rPr>
            </w:pPr>
            <w:hyperlink w:anchor="page23">
              <w:r>
                <w:rPr>
                  <w:rFonts w:ascii="Arial" w:cs="Arial" w:eastAsia="Arial" w:hAnsi="Arial"/>
                  <w:sz w:val="18"/>
                  <w:szCs w:val="18"/>
                  <w:color w:val="2B4C9B"/>
                  <w:w w:val="99"/>
                </w:rPr>
                <w:t>Management’s Discussion and Analysis of Financial Condition and Results of Operations</w:t>
              </w:r>
            </w:hyperlink>
          </w:p>
        </w:tc>
        <w:tc>
          <w:tcPr>
            <w:tcW w:w="2580" w:type="dxa"/>
            <w:vAlign w:val="bottom"/>
            <w:gridSpan w:val="4"/>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23">
              <w:r>
                <w:rPr>
                  <w:rFonts w:ascii="Arial" w:cs="Arial" w:eastAsia="Arial" w:hAnsi="Arial"/>
                  <w:sz w:val="18"/>
                  <w:szCs w:val="18"/>
                  <w:color w:val="2B4C9B"/>
                </w:rPr>
                <w:t>21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2B4C9B"/>
              </w:rPr>
            </w:pPr>
            <w:hyperlink w:anchor="page36">
              <w:r>
                <w:rPr>
                  <w:rFonts w:ascii="Arial" w:cs="Arial" w:eastAsia="Arial" w:hAnsi="Arial"/>
                  <w:sz w:val="18"/>
                  <w:szCs w:val="18"/>
                  <w:color w:val="2B4C9B"/>
                </w:rPr>
                <w:t>Quantitative and Qualitative Disclosures About Market Risk</w:t>
              </w:r>
            </w:hyperlink>
          </w:p>
        </w:tc>
        <w:tc>
          <w:tcPr>
            <w:tcW w:w="2580" w:type="dxa"/>
            <w:vAlign w:val="bottom"/>
            <w:gridSpan w:val="4"/>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6">
              <w:r>
                <w:rPr>
                  <w:rFonts w:ascii="Arial" w:cs="Arial" w:eastAsia="Arial" w:hAnsi="Arial"/>
                  <w:sz w:val="18"/>
                  <w:szCs w:val="18"/>
                  <w:color w:val="2B4C9B"/>
                </w:rPr>
                <w:t>34</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2B4C9B"/>
                <w:w w:val="99"/>
              </w:rPr>
            </w:pPr>
            <w:hyperlink w:anchor="page36">
              <w:r>
                <w:rPr>
                  <w:rFonts w:ascii="Arial" w:cs="Arial" w:eastAsia="Arial" w:hAnsi="Arial"/>
                  <w:sz w:val="18"/>
                  <w:szCs w:val="18"/>
                  <w:color w:val="2B4C9B"/>
                  <w:w w:val="99"/>
                </w:rPr>
                <w:t>Financial Statements and Supplementary Data</w:t>
              </w:r>
            </w:hyperlink>
          </w:p>
        </w:tc>
        <w:tc>
          <w:tcPr>
            <w:tcW w:w="980" w:type="dxa"/>
            <w:vAlign w:val="bottom"/>
            <w:gridSpan w:val="2"/>
          </w:tcPr>
          <w:p>
            <w:pPr>
              <w:spacing w:after="0"/>
              <w:rPr>
                <w:sz w:val="20"/>
                <w:szCs w:val="20"/>
                <w:color w:val="auto"/>
              </w:rPr>
            </w:pPr>
          </w:p>
        </w:tc>
        <w:tc>
          <w:tcPr>
            <w:tcW w:w="4960" w:type="dxa"/>
            <w:vAlign w:val="bottom"/>
            <w:gridSpan w:val="6"/>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6">
              <w:r>
                <w:rPr>
                  <w:rFonts w:ascii="Arial" w:cs="Arial" w:eastAsia="Arial" w:hAnsi="Arial"/>
                  <w:sz w:val="18"/>
                  <w:szCs w:val="18"/>
                  <w:color w:val="2B4C9B"/>
                </w:rPr>
                <w:t>34</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2"/>
          </w:tcPr>
          <w:p>
            <w:pPr>
              <w:spacing w:after="0"/>
              <w:rPr>
                <w:rFonts w:ascii="Arial" w:cs="Arial" w:eastAsia="Arial" w:hAnsi="Arial"/>
                <w:sz w:val="18"/>
                <w:szCs w:val="18"/>
                <w:color w:val="2B4C9B"/>
              </w:rPr>
            </w:pPr>
            <w:hyperlink w:anchor="page36">
              <w:r>
                <w:rPr>
                  <w:rFonts w:ascii="Arial" w:cs="Arial" w:eastAsia="Arial" w:hAnsi="Arial"/>
                  <w:sz w:val="18"/>
                  <w:szCs w:val="18"/>
                  <w:color w:val="2B4C9B"/>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36">
              <w:r>
                <w:rPr>
                  <w:rFonts w:ascii="Arial" w:cs="Arial" w:eastAsia="Arial" w:hAnsi="Arial"/>
                  <w:sz w:val="18"/>
                  <w:szCs w:val="18"/>
                  <w:color w:val="2B4C9B"/>
                </w:rPr>
                <w:t>34</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300" w:type="dxa"/>
            <w:vAlign w:val="bottom"/>
            <w:gridSpan w:val="2"/>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080" w:type="dxa"/>
            <w:vAlign w:val="bottom"/>
            <w:gridSpan w:val="2"/>
            <w:shd w:val="clear" w:color="auto" w:fill="2B4C9B"/>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7160" w:type="dxa"/>
            <w:vAlign w:val="bottom"/>
            <w:gridSpan w:val="19"/>
          </w:tcPr>
          <w:p>
            <w:pPr>
              <w:spacing w:after="0"/>
              <w:rPr>
                <w:rFonts w:ascii="Arial" w:cs="Arial" w:eastAsia="Arial" w:hAnsi="Arial"/>
                <w:sz w:val="18"/>
                <w:szCs w:val="18"/>
                <w:color w:val="2B4C9B"/>
              </w:rPr>
            </w:pPr>
            <w:hyperlink w:anchor="page36">
              <w:r>
                <w:rPr>
                  <w:rFonts w:ascii="Arial" w:cs="Arial" w:eastAsia="Arial" w:hAnsi="Arial"/>
                  <w:sz w:val="18"/>
                  <w:szCs w:val="18"/>
                  <w:color w:val="2B4C9B"/>
                </w:rPr>
                <w:t>Controls and Procedures</w:t>
              </w:r>
            </w:hyperlink>
          </w:p>
        </w:tc>
        <w:tc>
          <w:tcPr>
            <w:tcW w:w="2500" w:type="dxa"/>
            <w:vAlign w:val="bottom"/>
            <w:gridSpan w:val="3"/>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6">
              <w:r>
                <w:rPr>
                  <w:rFonts w:ascii="Arial" w:cs="Arial" w:eastAsia="Arial" w:hAnsi="Arial"/>
                  <w:sz w:val="18"/>
                  <w:szCs w:val="18"/>
                  <w:color w:val="2B4C9B"/>
                </w:rPr>
                <w:t>34</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9"/>
          </w:tcPr>
          <w:p>
            <w:pPr>
              <w:spacing w:after="0"/>
              <w:rPr>
                <w:rFonts w:ascii="Arial" w:cs="Arial" w:eastAsia="Arial" w:hAnsi="Arial"/>
                <w:sz w:val="18"/>
                <w:szCs w:val="18"/>
                <w:color w:val="2B4C9B"/>
              </w:rPr>
            </w:pPr>
            <w:hyperlink w:anchor="page40">
              <w:r>
                <w:rPr>
                  <w:rFonts w:ascii="Arial" w:cs="Arial" w:eastAsia="Arial" w:hAnsi="Arial"/>
                  <w:sz w:val="18"/>
                  <w:szCs w:val="18"/>
                  <w:color w:val="2B4C9B"/>
                </w:rPr>
                <w:t>Other Information</w:t>
              </w:r>
            </w:hyperlink>
          </w:p>
        </w:tc>
        <w:tc>
          <w:tcPr>
            <w:tcW w:w="7680" w:type="dxa"/>
            <w:vAlign w:val="bottom"/>
            <w:gridSpan w:val="13"/>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0">
              <w:r>
                <w:rPr>
                  <w:rFonts w:ascii="Arial" w:cs="Arial" w:eastAsia="Arial" w:hAnsi="Arial"/>
                  <w:sz w:val="18"/>
                  <w:szCs w:val="18"/>
                  <w:color w:val="2B4C9B"/>
                </w:rPr>
                <w:t>38</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III</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rPr>
                <w:rFonts w:ascii="Arial" w:cs="Arial" w:eastAsia="Arial" w:hAnsi="Arial"/>
                <w:sz w:val="18"/>
                <w:szCs w:val="18"/>
                <w:color w:val="2B4C9B"/>
                <w:w w:val="99"/>
              </w:rPr>
            </w:pPr>
            <w:hyperlink w:anchor="page41">
              <w:r>
                <w:rPr>
                  <w:rFonts w:ascii="Arial" w:cs="Arial" w:eastAsia="Arial" w:hAnsi="Arial"/>
                  <w:sz w:val="18"/>
                  <w:szCs w:val="18"/>
                  <w:color w:val="2B4C9B"/>
                  <w:w w:val="99"/>
                </w:rPr>
                <w:t>Directors, Executive Officers and Corporate Governance</w:t>
              </w:r>
            </w:hyperlink>
          </w:p>
        </w:tc>
        <w:tc>
          <w:tcPr>
            <w:tcW w:w="5160" w:type="dxa"/>
            <w:vAlign w:val="bottom"/>
            <w:gridSpan w:val="7"/>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1">
              <w:r>
                <w:rPr>
                  <w:rFonts w:ascii="Arial" w:cs="Arial" w:eastAsia="Arial" w:hAnsi="Arial"/>
                  <w:sz w:val="18"/>
                  <w:szCs w:val="18"/>
                  <w:color w:val="2B4C9B"/>
                </w:rPr>
                <w:t>39</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300" w:type="dxa"/>
            <w:vAlign w:val="bottom"/>
            <w:gridSpan w:val="2"/>
            <w:shd w:val="clear" w:color="auto" w:fill="2B4C9B"/>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2B4C9B"/>
              </w:rPr>
            </w:pPr>
            <w:hyperlink w:anchor="page42">
              <w:r>
                <w:rPr>
                  <w:rFonts w:ascii="Arial" w:cs="Arial" w:eastAsia="Arial" w:hAnsi="Arial"/>
                  <w:sz w:val="18"/>
                  <w:szCs w:val="18"/>
                  <w:color w:val="2B4C9B"/>
                </w:rPr>
                <w:t>Executive Compensation</w:t>
              </w:r>
            </w:hyperlink>
          </w:p>
        </w:tc>
        <w:tc>
          <w:tcPr>
            <w:tcW w:w="5160" w:type="dxa"/>
            <w:vAlign w:val="bottom"/>
            <w:gridSpan w:val="7"/>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2">
              <w:r>
                <w:rPr>
                  <w:rFonts w:ascii="Arial" w:cs="Arial" w:eastAsia="Arial" w:hAnsi="Arial"/>
                  <w:sz w:val="18"/>
                  <w:szCs w:val="18"/>
                  <w:color w:val="2B4C9B"/>
                </w:rPr>
                <w:t>40</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22"/>
          </w:tcPr>
          <w:p>
            <w:pPr>
              <w:spacing w:after="0"/>
              <w:rPr>
                <w:rFonts w:ascii="Arial" w:cs="Arial" w:eastAsia="Arial" w:hAnsi="Arial"/>
                <w:sz w:val="18"/>
                <w:szCs w:val="18"/>
                <w:color w:val="2B4C9B"/>
              </w:rPr>
            </w:pPr>
            <w:hyperlink w:anchor="page42">
              <w:r>
                <w:rPr>
                  <w:rFonts w:ascii="Arial" w:cs="Arial" w:eastAsia="Arial" w:hAnsi="Arial"/>
                  <w:sz w:val="18"/>
                  <w:szCs w:val="18"/>
                  <w:color w:val="2B4C9B"/>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2">
              <w:r>
                <w:rPr>
                  <w:rFonts w:ascii="Arial" w:cs="Arial" w:eastAsia="Arial" w:hAnsi="Arial"/>
                  <w:sz w:val="18"/>
                  <w:szCs w:val="18"/>
                  <w:color w:val="2B4C9B"/>
                </w:rPr>
                <w:t>40</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80" w:type="dxa"/>
            <w:vAlign w:val="bottom"/>
            <w:gridSpan w:val="4"/>
            <w:shd w:val="clear" w:color="auto" w:fill="2B4C9B"/>
          </w:tcPr>
          <w:p>
            <w:pPr>
              <w:spacing w:after="0" w:line="20" w:lineRule="exact"/>
              <w:rPr>
                <w:sz w:val="1"/>
                <w:szCs w:val="1"/>
                <w:color w:val="auto"/>
              </w:rPr>
            </w:pPr>
          </w:p>
        </w:tc>
        <w:tc>
          <w:tcPr>
            <w:tcW w:w="1920" w:type="dxa"/>
            <w:vAlign w:val="bottom"/>
            <w:gridSpan w:val="3"/>
            <w:shd w:val="clear" w:color="auto" w:fill="2B4C9B"/>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7"/>
          </w:tcPr>
          <w:p>
            <w:pPr>
              <w:spacing w:after="0"/>
              <w:rPr>
                <w:rFonts w:ascii="Arial" w:cs="Arial" w:eastAsia="Arial" w:hAnsi="Arial"/>
                <w:sz w:val="18"/>
                <w:szCs w:val="18"/>
                <w:color w:val="2B4C9B"/>
                <w:w w:val="99"/>
              </w:rPr>
            </w:pPr>
            <w:hyperlink w:anchor="page43">
              <w:r>
                <w:rPr>
                  <w:rFonts w:ascii="Arial" w:cs="Arial" w:eastAsia="Arial" w:hAnsi="Arial"/>
                  <w:sz w:val="18"/>
                  <w:szCs w:val="18"/>
                  <w:color w:val="2B4C9B"/>
                  <w:w w:val="99"/>
                </w:rPr>
                <w:t>Certain Relationships and Related Transactions, and Director Independence</w:t>
              </w:r>
            </w:hyperlink>
          </w:p>
        </w:tc>
        <w:tc>
          <w:tcPr>
            <w:tcW w:w="1920" w:type="dxa"/>
            <w:vAlign w:val="bottom"/>
            <w:gridSpan w:val="3"/>
          </w:tcPr>
          <w:p>
            <w:pPr>
              <w:spacing w:after="0"/>
              <w:rPr>
                <w:sz w:val="20"/>
                <w:szCs w:val="20"/>
                <w:color w:val="auto"/>
              </w:rPr>
            </w:pPr>
          </w:p>
        </w:tc>
        <w:tc>
          <w:tcPr>
            <w:tcW w:w="1660" w:type="dxa"/>
            <w:vAlign w:val="bottom"/>
            <w:gridSpan w:val="2"/>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3">
              <w:r>
                <w:rPr>
                  <w:rFonts w:ascii="Arial" w:cs="Arial" w:eastAsia="Arial" w:hAnsi="Arial"/>
                  <w:sz w:val="18"/>
                  <w:szCs w:val="18"/>
                  <w:color w:val="2B4C9B"/>
                </w:rPr>
                <w:t>41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80" w:type="dxa"/>
            <w:vAlign w:val="bottom"/>
            <w:gridSpan w:val="4"/>
            <w:shd w:val="clear" w:color="auto" w:fill="2B4C9B"/>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7"/>
          </w:tcPr>
          <w:p>
            <w:pPr>
              <w:spacing w:after="0"/>
              <w:rPr>
                <w:rFonts w:ascii="Arial" w:cs="Arial" w:eastAsia="Arial" w:hAnsi="Arial"/>
                <w:sz w:val="18"/>
                <w:szCs w:val="18"/>
                <w:color w:val="2B4C9B"/>
              </w:rPr>
            </w:pPr>
            <w:hyperlink w:anchor="page43">
              <w:r>
                <w:rPr>
                  <w:rFonts w:ascii="Arial" w:cs="Arial" w:eastAsia="Arial" w:hAnsi="Arial"/>
                  <w:sz w:val="18"/>
                  <w:szCs w:val="18"/>
                  <w:color w:val="2B4C9B"/>
                </w:rPr>
                <w:t>Principal Accounting Fees and Services</w:t>
              </w:r>
            </w:hyperlink>
          </w:p>
        </w:tc>
        <w:tc>
          <w:tcPr>
            <w:tcW w:w="3580" w:type="dxa"/>
            <w:vAlign w:val="bottom"/>
            <w:gridSpan w:val="5"/>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3">
              <w:r>
                <w:rPr>
                  <w:rFonts w:ascii="Arial" w:cs="Arial" w:eastAsia="Arial" w:hAnsi="Arial"/>
                  <w:sz w:val="18"/>
                  <w:szCs w:val="18"/>
                  <w:color w:val="2B4C9B"/>
                </w:rPr>
                <w:t>41</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IV</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40" w:type="dxa"/>
            <w:vAlign w:val="bottom"/>
            <w:tcBorders>
              <w:top w:val="single" w:sz="8" w:color="2B4C9B"/>
            </w:tcBorders>
          </w:tcPr>
          <w:p>
            <w:pPr>
              <w:spacing w:after="0"/>
              <w:rPr>
                <w:sz w:val="24"/>
                <w:szCs w:val="24"/>
                <w:color w:val="auto"/>
              </w:rPr>
            </w:pPr>
          </w:p>
        </w:tc>
        <w:tc>
          <w:tcPr>
            <w:tcW w:w="20" w:type="dxa"/>
            <w:vAlign w:val="bottom"/>
            <w:tcBorders>
              <w:top w:val="single" w:sz="8" w:color="2B4C9B"/>
            </w:tcBorders>
          </w:tcPr>
          <w:p>
            <w:pPr>
              <w:spacing w:after="0"/>
              <w:rPr>
                <w:sz w:val="24"/>
                <w:szCs w:val="24"/>
                <w:color w:val="auto"/>
              </w:rPr>
            </w:pPr>
          </w:p>
        </w:tc>
        <w:tc>
          <w:tcPr>
            <w:tcW w:w="6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740" w:type="dxa"/>
            <w:vAlign w:val="bottom"/>
            <w:tcBorders>
              <w:top w:val="single" w:sz="8" w:color="2B4C9B"/>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660" w:type="dxa"/>
            <w:vAlign w:val="bottom"/>
            <w:gridSpan w:val="22"/>
          </w:tcPr>
          <w:p>
            <w:pPr>
              <w:spacing w:after="0"/>
              <w:rPr>
                <w:rFonts w:ascii="Arial" w:cs="Arial" w:eastAsia="Arial" w:hAnsi="Arial"/>
                <w:sz w:val="18"/>
                <w:szCs w:val="18"/>
                <w:color w:val="2B4C9B"/>
              </w:rPr>
            </w:pPr>
            <w:hyperlink w:anchor="page44">
              <w:r>
                <w:rPr>
                  <w:rFonts w:ascii="Arial" w:cs="Arial" w:eastAsia="Arial" w:hAnsi="Arial"/>
                  <w:sz w:val="18"/>
                  <w:szCs w:val="18"/>
                  <w:color w:val="2B4C9B"/>
                </w:rPr>
                <w:t>Exhibits, Financial Statement Schedules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4">
              <w:r>
                <w:rPr>
                  <w:rFonts w:ascii="Arial" w:cs="Arial" w:eastAsia="Arial" w:hAnsi="Arial"/>
                  <w:sz w:val="18"/>
                  <w:szCs w:val="18"/>
                  <w:color w:val="2B4C9B"/>
                </w:rPr>
                <w:t>42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80" w:type="dxa"/>
            <w:vAlign w:val="bottom"/>
            <w:gridSpan w:val="2"/>
            <w:shd w:val="clear" w:color="auto" w:fill="2B4C9B"/>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200" w:type="dxa"/>
            <w:vAlign w:val="bottom"/>
            <w:gridSpan w:val="13"/>
          </w:tcPr>
          <w:p>
            <w:pPr>
              <w:spacing w:after="0"/>
              <w:rPr>
                <w:rFonts w:ascii="Arial" w:cs="Arial" w:eastAsia="Arial" w:hAnsi="Arial"/>
                <w:sz w:val="18"/>
                <w:szCs w:val="18"/>
                <w:color w:val="2B4C9B"/>
              </w:rPr>
            </w:pPr>
            <w:hyperlink w:anchor="page45">
              <w:r>
                <w:rPr>
                  <w:rFonts w:ascii="Arial" w:cs="Arial" w:eastAsia="Arial" w:hAnsi="Arial"/>
                  <w:sz w:val="18"/>
                  <w:szCs w:val="18"/>
                  <w:color w:val="2B4C9B"/>
                </w:rPr>
                <w:t>Form 10-K Summary</w:t>
              </w:r>
            </w:hyperlink>
          </w:p>
        </w:tc>
        <w:tc>
          <w:tcPr>
            <w:tcW w:w="6460" w:type="dxa"/>
            <w:vAlign w:val="bottom"/>
            <w:gridSpan w:val="9"/>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5">
              <w:r>
                <w:rPr>
                  <w:rFonts w:ascii="Arial" w:cs="Arial" w:eastAsia="Arial" w:hAnsi="Arial"/>
                  <w:sz w:val="18"/>
                  <w:szCs w:val="18"/>
                  <w:color w:val="2B4C9B"/>
                </w:rPr>
                <w:t>43</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60" w:type="dxa"/>
            <w:vAlign w:val="bottom"/>
          </w:tcPr>
          <w:p>
            <w:pPr>
              <w:spacing w:after="0"/>
              <w:rPr>
                <w:rFonts w:ascii="Arial" w:cs="Arial" w:eastAsia="Arial" w:hAnsi="Arial"/>
                <w:sz w:val="18"/>
                <w:szCs w:val="18"/>
                <w:color w:val="2B4C9B"/>
                <w:w w:val="97"/>
              </w:rPr>
            </w:pPr>
            <w:hyperlink w:anchor="page45">
              <w:r>
                <w:rPr>
                  <w:rFonts w:ascii="Arial" w:cs="Arial" w:eastAsia="Arial" w:hAnsi="Arial"/>
                  <w:sz w:val="18"/>
                  <w:szCs w:val="18"/>
                  <w:color w:val="2B4C9B"/>
                  <w:w w:val="97"/>
                </w:rPr>
                <w:t>Signatures</w:t>
              </w:r>
            </w:hyperlink>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5">
              <w:r>
                <w:rPr>
                  <w:rFonts w:ascii="Arial" w:cs="Arial" w:eastAsia="Arial" w:hAnsi="Arial"/>
                  <w:sz w:val="18"/>
                  <w:szCs w:val="18"/>
                  <w:color w:val="2B4C9B"/>
                </w:rPr>
                <w:t>43</w:t>
              </w:r>
            </w:hyperlink>
          </w:p>
        </w:tc>
      </w:tr>
      <w:tr>
        <w:trPr>
          <w:trHeight w:val="20"/>
        </w:trPr>
        <w:tc>
          <w:tcPr>
            <w:tcW w:w="860" w:type="dxa"/>
            <w:vAlign w:val="bottom"/>
            <w:shd w:val="clear" w:color="auto" w:fill="2B4C9B"/>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700" w:type="dxa"/>
            <w:vAlign w:val="bottom"/>
            <w:gridSpan w:val="24"/>
          </w:tcPr>
          <w:p>
            <w:pPr>
              <w:spacing w:after="0"/>
              <w:rPr>
                <w:rFonts w:ascii="Arial" w:cs="Arial" w:eastAsia="Arial" w:hAnsi="Arial"/>
                <w:sz w:val="18"/>
                <w:szCs w:val="18"/>
                <w:color w:val="2B4C9B"/>
              </w:rPr>
            </w:pPr>
            <w:hyperlink w:anchor="page46">
              <w:r>
                <w:rPr>
                  <w:rFonts w:ascii="Arial" w:cs="Arial" w:eastAsia="Arial" w:hAnsi="Arial"/>
                  <w:sz w:val="18"/>
                  <w:szCs w:val="18"/>
                  <w:color w:val="2B4C9B"/>
                </w:rPr>
                <w:t>Index to Consolidated Financial Statements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6">
              <w:r>
                <w:rPr>
                  <w:rFonts w:ascii="Arial" w:cs="Arial" w:eastAsia="Arial" w:hAnsi="Arial"/>
                  <w:sz w:val="18"/>
                  <w:szCs w:val="18"/>
                  <w:color w:val="2B4C9B"/>
                </w:rPr>
                <w:t>F-1</w:t>
              </w:r>
            </w:hyperlink>
          </w:p>
        </w:tc>
      </w:tr>
      <w:tr>
        <w:trPr>
          <w:trHeight w:val="20"/>
        </w:trPr>
        <w:tc>
          <w:tcPr>
            <w:tcW w:w="86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33" w:right="239" w:bottom="1440" w:gutter="0" w:footer="0" w:header="0"/>
        </w:sectPr>
      </w:pPr>
    </w:p>
    <w:bookmarkStart w:id="2" w:name="page3"/>
    <w:bookmarkEnd w:id="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 </w:t>
      </w:r>
      <w:r>
        <w:rPr>
          <w:rFonts w:ascii="Arial" w:cs="Arial" w:eastAsia="Arial" w:hAnsi="Arial"/>
          <w:sz w:val="18"/>
          <w:szCs w:val="18"/>
          <w:b w:val="1"/>
          <w:bCs w:val="1"/>
          <w:i w:val="1"/>
          <w:iCs w:val="1"/>
          <w:color w:val="2B4C9B"/>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The Company</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Science Applications International Corporation (herein referred to as “SAIC,” the “Company,” “we,” “us,” or “our”) is a leading provider of technical, engineering and enterprise information technology (IT) services primarily to the U.S. government. We provide engineering, systems integration and information technology offerings for large, complex government projects and offer a broad range of services with a targeted emphasis on higher-end, differentiated technology services. Our end-to-end enterprise IT offerings span the entire spectrum of our customers' IT infrastructure. We commenced operations on September 27, 2013 (the Distribution Date) following completion of a spin-off transaction from our former parent, Leidos Holdings, Inc. (collectively with its consolidated subsidiaries, “former Parent”). On January 14, 2019, we completed the acquisition of Engility Holdings, Inc. (collectively with its consolidated subsidiaries, "Engility"), which provides increased customer and market access, as well as increased scale in strategic business areas of national interest, such as defense, federal civilian agencies, intelligence and space. On May 4, 2015 we completed the acquisition of privately held Scitor Holdings, Inc. (Scitor), a leading provider of services to the intelligence community, which enabled us to gain sufficient scale to competitively pursue opportunities within the intelligence community.</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has a long and successful history, tracing its roots to the earliest days of former Parent which was founded in 1969 as a scientific research and engineering firm. The U.S. federal government agencies we serve include all branches of the U.S. military (Army, Air Force, Navy, Marines and Coast Guard), U.S. Defense Logistics Agency, National Aeronautics and Space Administration (NASA), U.S. Department of State, Department of Justice and several sensitive intelligence community agencies. Our long-standing customer relationships have enabled us to achieve an in-depth understanding of our customers’ missions and provide differentiated service offerings to meet our customers’ most complex requirements. Our offerings include: engineering; technology and equipment platform integration; maintenance of ground and maritime systems; logistics; training and simulation; operation and program support services; and end-to-end services spanning the design, development, integration, deployment, management and operations, sustainment and security of our customers’ entire IT infrastructure. We serve our customers through approximately 2,200 active contracts and task orders. We have more than 23,000 employees that are led by an experienced executive team of proven industry leaders.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core strengths have supported our successful performance on programs of national importance. Those strengths include:</w:t>
      </w:r>
    </w:p>
    <w:p>
      <w:pPr>
        <w:spacing w:after="0" w:line="167" w:lineRule="exact"/>
        <w:rPr>
          <w:sz w:val="20"/>
          <w:szCs w:val="20"/>
          <w:color w:val="auto"/>
        </w:rPr>
      </w:pPr>
    </w:p>
    <w:p>
      <w:pPr>
        <w:ind w:left="420" w:right="120"/>
        <w:spacing w:after="0" w:line="258" w:lineRule="auto"/>
        <w:rPr>
          <w:sz w:val="20"/>
          <w:szCs w:val="20"/>
          <w:color w:val="auto"/>
        </w:rPr>
      </w:pPr>
      <w:r>
        <w:rPr>
          <w:rFonts w:ascii="Arial" w:cs="Arial" w:eastAsia="Arial" w:hAnsi="Arial"/>
          <w:sz w:val="18"/>
          <w:szCs w:val="18"/>
          <w:i w:val="1"/>
          <w:iCs w:val="1"/>
          <w:color w:val="2B4C9B"/>
        </w:rPr>
        <w:t xml:space="preserve">Enduring Customer Relationships and Mission-Orientation. </w:t>
      </w:r>
      <w:r>
        <w:rPr>
          <w:rFonts w:ascii="Arial" w:cs="Arial" w:eastAsia="Arial" w:hAnsi="Arial"/>
          <w:sz w:val="18"/>
          <w:szCs w:val="18"/>
          <w:color w:val="000000"/>
        </w:rPr>
        <w:t>We have strong and long-lasting customer relationships throughout the U.S.</w:t>
      </w:r>
      <w:r>
        <w:rPr>
          <w:rFonts w:ascii="Arial" w:cs="Arial" w:eastAsia="Arial" w:hAnsi="Arial"/>
          <w:sz w:val="18"/>
          <w:szCs w:val="18"/>
          <w:i w:val="1"/>
          <w:iCs w:val="1"/>
          <w:color w:val="2B4C9B"/>
        </w:rPr>
        <w:t xml:space="preserve"> </w:t>
      </w:r>
      <w:r>
        <w:rPr>
          <w:rFonts w:ascii="Arial" w:cs="Arial" w:eastAsia="Arial" w:hAnsi="Arial"/>
          <w:sz w:val="18"/>
          <w:szCs w:val="18"/>
          <w:color w:val="000000"/>
        </w:rPr>
        <w:t>government. Our track record of serving the missions of our government customer spans decades, including several enduring customer relationships that have lasted 20 years or more. Our employees, many of whom are deployed at customer sites, work closely with our customers in fulfilling their missions. Our strong customer relationships enable us to develop deep customer knowledge and translate our mission understanding into successful program execution that fosters continued demand for our services.</w:t>
      </w:r>
    </w:p>
    <w:p>
      <w:pPr>
        <w:spacing w:after="0" w:line="143" w:lineRule="exact"/>
        <w:rPr>
          <w:sz w:val="20"/>
          <w:szCs w:val="20"/>
          <w:color w:val="auto"/>
        </w:rPr>
      </w:pPr>
    </w:p>
    <w:p>
      <w:pPr>
        <w:jc w:val="both"/>
        <w:ind w:left="420" w:right="120"/>
        <w:spacing w:after="0" w:line="266" w:lineRule="auto"/>
        <w:rPr>
          <w:sz w:val="20"/>
          <w:szCs w:val="20"/>
          <w:color w:val="auto"/>
        </w:rPr>
      </w:pPr>
      <w:r>
        <w:rPr>
          <w:rFonts w:ascii="Arial" w:cs="Arial" w:eastAsia="Arial" w:hAnsi="Arial"/>
          <w:sz w:val="18"/>
          <w:szCs w:val="18"/>
          <w:i w:val="1"/>
          <w:iCs w:val="1"/>
          <w:color w:val="2B4C9B"/>
        </w:rPr>
        <w:t xml:space="preserve">Full Life Cycle Offerings. </w:t>
      </w:r>
      <w:r>
        <w:rPr>
          <w:rFonts w:ascii="Arial" w:cs="Arial" w:eastAsia="Arial" w:hAnsi="Arial"/>
          <w:sz w:val="18"/>
          <w:szCs w:val="18"/>
          <w:color w:val="000000"/>
        </w:rPr>
        <w:t>We integrate technologies and deliver services that provide our customers with seamless end-to-end solutions.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Our expertise includes initial requirements definition, development and integration services, training, logistics and sustainment. These full life cycle offerings, combined with deep customer knowledge, allow us to more effectively support our customers’ missions.</w:t>
      </w:r>
    </w:p>
    <w:p>
      <w:pPr>
        <w:spacing w:after="0" w:line="136" w:lineRule="exact"/>
        <w:rPr>
          <w:sz w:val="20"/>
          <w:szCs w:val="20"/>
          <w:color w:val="auto"/>
        </w:rPr>
      </w:pPr>
    </w:p>
    <w:p>
      <w:pPr>
        <w:ind w:left="420" w:right="160"/>
        <w:spacing w:after="0" w:line="258" w:lineRule="auto"/>
        <w:rPr>
          <w:sz w:val="20"/>
          <w:szCs w:val="20"/>
          <w:color w:val="auto"/>
        </w:rPr>
      </w:pPr>
      <w:r>
        <w:rPr>
          <w:rFonts w:ascii="Arial" w:cs="Arial" w:eastAsia="Arial" w:hAnsi="Arial"/>
          <w:sz w:val="18"/>
          <w:szCs w:val="18"/>
          <w:i w:val="1"/>
          <w:iCs w:val="1"/>
          <w:color w:val="2B4C9B"/>
        </w:rPr>
        <w:t xml:space="preserve">Significant Scale and Diversified Contract Base. </w:t>
      </w:r>
      <w:r>
        <w:rPr>
          <w:rFonts w:ascii="Arial" w:cs="Arial" w:eastAsia="Arial" w:hAnsi="Arial"/>
          <w:sz w:val="18"/>
          <w:szCs w:val="18"/>
          <w:color w:val="000000"/>
        </w:rPr>
        <w:t>With approximately $4.7 billion in revenue in fiscal 2019, we are one of the largest pure-play technical service providers to the U.S. government. Our significant scale advantage enables us to serve as a prime systems integrator on large, complex programs and to allocate resources toward further developing and expanding our repeatable, proven solutions and differentiated technical capabilities. Our diversified revenue base consists of programs ranging from research and development to operations and maintenance.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i w:val="1"/>
          <w:iCs w:val="1"/>
          <w:color w:val="2B4C9B"/>
        </w:rPr>
        <w:t xml:space="preserve">Technical Experts Led by Experienced Management. </w:t>
      </w:r>
      <w:r>
        <w:rPr>
          <w:rFonts w:ascii="Arial" w:cs="Arial" w:eastAsia="Arial" w:hAnsi="Arial"/>
          <w:sz w:val="18"/>
          <w:szCs w:val="18"/>
          <w:color w:val="000000"/>
        </w:rPr>
        <w:t>The quality, training and knowledge of our employees are important competitive</w:t>
      </w:r>
      <w:r>
        <w:rPr>
          <w:rFonts w:ascii="Arial" w:cs="Arial" w:eastAsia="Arial" w:hAnsi="Arial"/>
          <w:sz w:val="18"/>
          <w:szCs w:val="18"/>
          <w:i w:val="1"/>
          <w:iCs w:val="1"/>
          <w:color w:val="2B4C9B"/>
        </w:rPr>
        <w:t xml:space="preserve"> </w:t>
      </w:r>
      <w:r>
        <w:rPr>
          <w:rFonts w:ascii="Arial" w:cs="Arial" w:eastAsia="Arial" w:hAnsi="Arial"/>
          <w:sz w:val="18"/>
          <w:szCs w:val="18"/>
          <w:color w:val="000000"/>
        </w:rPr>
        <w:t>assets. Our skilled workforce ranges from entry-level technicians to expert-level professionals in network engineering, software design and development, logistics, technology integration and systems engineering. Additionally, the majority of our workforce holds an active security clearance, which is required on many of our existing programs and future program opportunities.</w:t>
      </w:r>
    </w:p>
    <w:p>
      <w:pPr>
        <w:spacing w:after="0" w:line="158" w:lineRule="exact"/>
        <w:rPr>
          <w:sz w:val="20"/>
          <w:szCs w:val="20"/>
          <w:color w:val="auto"/>
        </w:rPr>
      </w:pPr>
    </w:p>
    <w:p>
      <w:pPr>
        <w:ind w:left="420" w:right="20"/>
        <w:spacing w:after="0" w:line="256" w:lineRule="auto"/>
        <w:rPr>
          <w:sz w:val="20"/>
          <w:szCs w:val="20"/>
          <w:color w:val="auto"/>
        </w:rPr>
      </w:pPr>
      <w:r>
        <w:rPr>
          <w:rFonts w:ascii="Arial" w:cs="Arial" w:eastAsia="Arial" w:hAnsi="Arial"/>
          <w:sz w:val="18"/>
          <w:szCs w:val="18"/>
          <w:color w:val="auto"/>
        </w:rPr>
        <w:t>Our workforce is led by a talented and experienced senior leadership team with a long history of solving our customers’ most difficult challenges. Collectively, our executive team averages more than 25 years of industry experience, consisting of members who have served as senior leaders in public companies and are recognized as leaders in their respective markets by customers and partners.</w:t>
      </w:r>
    </w:p>
    <w:p>
      <w:pPr>
        <w:spacing w:after="0" w:line="143" w:lineRule="exact"/>
        <w:rPr>
          <w:sz w:val="20"/>
          <w:szCs w:val="20"/>
          <w:color w:val="auto"/>
        </w:rPr>
      </w:pPr>
    </w:p>
    <w:p>
      <w:pPr>
        <w:ind w:left="420" w:right="60"/>
        <w:spacing w:after="0" w:line="257" w:lineRule="auto"/>
        <w:rPr>
          <w:sz w:val="20"/>
          <w:szCs w:val="20"/>
          <w:color w:val="auto"/>
        </w:rPr>
      </w:pPr>
      <w:r>
        <w:rPr>
          <w:rFonts w:ascii="Arial" w:cs="Arial" w:eastAsia="Arial" w:hAnsi="Arial"/>
          <w:sz w:val="18"/>
          <w:szCs w:val="18"/>
          <w:i w:val="1"/>
          <w:iCs w:val="1"/>
          <w:color w:val="2B4C9B"/>
        </w:rPr>
        <w:t xml:space="preserve">Repeatable Methodologies and Certified Processes. </w:t>
      </w:r>
      <w:r>
        <w:rPr>
          <w:rFonts w:ascii="Arial" w:cs="Arial" w:eastAsia="Arial" w:hAnsi="Arial"/>
          <w:sz w:val="18"/>
          <w:szCs w:val="18"/>
          <w:color w:val="000000"/>
        </w:rPr>
        <w:t>Our technical excellence is driven by our proven, repeatable, disciplined processes</w:t>
      </w:r>
      <w:r>
        <w:rPr>
          <w:rFonts w:ascii="Arial" w:cs="Arial" w:eastAsia="Arial" w:hAnsi="Arial"/>
          <w:sz w:val="18"/>
          <w:szCs w:val="18"/>
          <w:i w:val="1"/>
          <w:iCs w:val="1"/>
          <w:color w:val="2B4C9B"/>
        </w:rPr>
        <w:t xml:space="preserve"> </w:t>
      </w:r>
      <w:r>
        <w:rPr>
          <w:rFonts w:ascii="Arial" w:cs="Arial" w:eastAsia="Arial" w:hAnsi="Arial"/>
          <w:sz w:val="18"/>
          <w:szCs w:val="18"/>
          <w:color w:val="000000"/>
        </w:rPr>
        <w:t>for management, engineering, technical support and services. We deploy our tools and processes enterprise-wide and emphasize a consistent approach to planning, designing, and delivering solutions and services to our customers. We hold certifications from the International Organization for Standardization (including ISO 9001:2015, ISO/IEC 27001:2013, ISO 20000-1:2011 and AS9100), and from the Capability Maturity Model Integration Institute as a CMMI®-DEV Maturity Level 3 organization and CMMI®-SVC Maturity Level 2 for Army Programs with Strategic Goals for Best Practice Service Delivery.</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a solutions and technology group. The three operating segments are responsible for customer relationships, business development and program management, and delivery and execution, while the solutions and technology group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w:t>
      </w:r>
    </w:p>
    <w:p>
      <w:pPr>
        <w:spacing w:after="0" w:line="16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For additional discussion and analysis related to recent business developments, see “Economic Opportunities, Challenges and Risks” in “Management’s Discussion and Analysis of Financial Condition and Results of Operations” in Part II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Key Customers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each of fiscal 2019, 2018 and 2017, over 95% of our total revenues were attributable to prime contracts with the U.S. government or to subcontracts with other contractors engaged in work for the U.S. government. Substantially all of our revenues were earned by entities located in the United States.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U.S. Army and U.S. Navy each generated more than 10% of our revenues during each of the last three fiscal years. The percentages of total revenues for the U.S. government, its agencies and other customers, including those comprising more than 10% of total revenues for each of the periods presented were approximately: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00" w:type="dxa"/>
            <w:vAlign w:val="bottom"/>
            <w:tcBorders>
              <w:bottom w:val="single" w:sz="8" w:color="2B4C9B"/>
            </w:tcBorders>
          </w:tcPr>
          <w:p>
            <w:pPr>
              <w:spacing w:after="0"/>
              <w:rPr>
                <w:sz w:val="15"/>
                <w:szCs w:val="15"/>
                <w:color w:val="auto"/>
              </w:rPr>
            </w:pPr>
          </w:p>
        </w:tc>
        <w:tc>
          <w:tcPr>
            <w:tcW w:w="1660" w:type="dxa"/>
            <w:vAlign w:val="bottom"/>
            <w:tcBorders>
              <w:bottom w:val="single" w:sz="8" w:color="2B4C9B"/>
            </w:tcBorders>
          </w:tcPr>
          <w:p>
            <w:pPr>
              <w:jc w:val="right"/>
              <w:ind w:right="474"/>
              <w:spacing w:after="0"/>
              <w:rPr>
                <w:sz w:val="20"/>
                <w:szCs w:val="20"/>
                <w:color w:val="auto"/>
              </w:rPr>
            </w:pPr>
            <w:r>
              <w:rPr>
                <w:rFonts w:ascii="Arial" w:cs="Arial" w:eastAsia="Arial" w:hAnsi="Arial"/>
                <w:sz w:val="14"/>
                <w:szCs w:val="14"/>
                <w:color w:val="auto"/>
              </w:rPr>
              <w:t>Year Ended</w:t>
            </w:r>
          </w:p>
        </w:tc>
        <w:tc>
          <w:tcPr>
            <w:tcW w:w="1480" w:type="dxa"/>
            <w:vAlign w:val="bottom"/>
            <w:tcBorders>
              <w:bottom w:val="single" w:sz="8" w:color="2B4C9B"/>
            </w:tcBorders>
          </w:tcPr>
          <w:p>
            <w:pPr>
              <w:spacing w:after="0"/>
              <w:rPr>
                <w:sz w:val="15"/>
                <w:szCs w:val="15"/>
                <w:color w:val="auto"/>
              </w:rPr>
            </w:pPr>
          </w:p>
        </w:tc>
      </w:tr>
      <w:tr>
        <w:trPr>
          <w:trHeight w:val="264"/>
        </w:trPr>
        <w:tc>
          <w:tcPr>
            <w:tcW w:w="3880" w:type="dxa"/>
            <w:vAlign w:val="bottom"/>
            <w:tcBorders>
              <w:bottom w:val="single" w:sz="8" w:color="2B4C9B"/>
            </w:tcBorders>
          </w:tcPr>
          <w:p>
            <w:pPr>
              <w:spacing w:after="0"/>
              <w:rPr>
                <w:sz w:val="22"/>
                <w:szCs w:val="22"/>
                <w:color w:val="auto"/>
              </w:rPr>
            </w:pPr>
          </w:p>
        </w:tc>
        <w:tc>
          <w:tcPr>
            <w:tcW w:w="2680" w:type="dxa"/>
            <w:vAlign w:val="bottom"/>
            <w:tcBorders>
              <w:bottom w:val="single" w:sz="8" w:color="2B4C9B"/>
            </w:tcBorders>
          </w:tcPr>
          <w:p>
            <w:pPr>
              <w:spacing w:after="0"/>
              <w:rPr>
                <w:sz w:val="22"/>
                <w:szCs w:val="22"/>
                <w:color w:val="auto"/>
              </w:rPr>
            </w:pPr>
          </w:p>
        </w:tc>
        <w:tc>
          <w:tcPr>
            <w:tcW w:w="170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February 1, 2019</w:t>
            </w:r>
          </w:p>
        </w:tc>
        <w:tc>
          <w:tcPr>
            <w:tcW w:w="1660" w:type="dxa"/>
            <w:vAlign w:val="bottom"/>
            <w:tcBorders>
              <w:bottom w:val="single" w:sz="8" w:color="2B4C9B"/>
            </w:tcBorders>
          </w:tcPr>
          <w:p>
            <w:pPr>
              <w:jc w:val="right"/>
              <w:ind w:right="274"/>
              <w:spacing w:after="0"/>
              <w:rPr>
                <w:sz w:val="20"/>
                <w:szCs w:val="20"/>
                <w:color w:val="auto"/>
              </w:rPr>
            </w:pPr>
            <w:r>
              <w:rPr>
                <w:rFonts w:ascii="Arial" w:cs="Arial" w:eastAsia="Arial" w:hAnsi="Arial"/>
                <w:sz w:val="14"/>
                <w:szCs w:val="14"/>
                <w:color w:val="auto"/>
              </w:rPr>
              <w:t>February 2, 2018</w:t>
            </w:r>
          </w:p>
        </w:tc>
        <w:tc>
          <w:tcPr>
            <w:tcW w:w="1480" w:type="dxa"/>
            <w:vAlign w:val="bottom"/>
            <w:tcBorders>
              <w:bottom w:val="single" w:sz="8" w:color="2B4C9B"/>
            </w:tcBorders>
          </w:tcPr>
          <w:p>
            <w:pPr>
              <w:jc w:val="right"/>
              <w:ind w:right="112"/>
              <w:spacing w:after="0"/>
              <w:rPr>
                <w:sz w:val="20"/>
                <w:szCs w:val="20"/>
                <w:color w:val="auto"/>
              </w:rPr>
            </w:pPr>
            <w:r>
              <w:rPr>
                <w:rFonts w:ascii="Arial" w:cs="Arial" w:eastAsia="Arial" w:hAnsi="Arial"/>
                <w:sz w:val="14"/>
                <w:szCs w:val="14"/>
                <w:color w:val="auto"/>
              </w:rPr>
              <w:t>February 3, 2017</w:t>
            </w:r>
          </w:p>
        </w:tc>
      </w:tr>
      <w:tr>
        <w:trPr>
          <w:trHeight w:val="270"/>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Army</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29%</w:t>
            </w:r>
          </w:p>
        </w:tc>
        <w:tc>
          <w:tcPr>
            <w:tcW w:w="16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U.S. Navy</w:t>
            </w:r>
          </w:p>
        </w:tc>
        <w:tc>
          <w:tcPr>
            <w:tcW w:w="43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2B4C9B"/>
              </w:rPr>
              <w:t>13%</w:t>
            </w:r>
          </w:p>
        </w:tc>
        <w:tc>
          <w:tcPr>
            <w:tcW w:w="1660" w:type="dxa"/>
            <w:vAlign w:val="bottom"/>
          </w:tcPr>
          <w:p>
            <w:pPr>
              <w:jc w:val="right"/>
              <w:ind w:right="114"/>
              <w:spacing w:after="0"/>
              <w:rPr>
                <w:sz w:val="20"/>
                <w:szCs w:val="20"/>
                <w:color w:val="auto"/>
              </w:rPr>
            </w:pPr>
            <w:r>
              <w:rPr>
                <w:rFonts w:ascii="Arial" w:cs="Arial" w:eastAsia="Arial" w:hAnsi="Arial"/>
                <w:sz w:val="18"/>
                <w:szCs w:val="18"/>
                <w:color w:val="auto"/>
              </w:rPr>
              <w:t>13%</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DoD</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18%</w:t>
            </w:r>
          </w:p>
        </w:tc>
        <w:tc>
          <w:tcPr>
            <w:tcW w:w="16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38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federal government</w:t>
            </w:r>
          </w:p>
        </w:tc>
        <w:tc>
          <w:tcPr>
            <w:tcW w:w="4380" w:type="dxa"/>
            <w:vAlign w:val="bottom"/>
            <w:tcBorders>
              <w:bottom w:val="single" w:sz="8" w:color="2B4C9B"/>
            </w:tcBorders>
            <w:gridSpan w:val="2"/>
          </w:tcPr>
          <w:p>
            <w:pPr>
              <w:jc w:val="right"/>
              <w:ind w:right="128"/>
              <w:spacing w:after="0"/>
              <w:rPr>
                <w:sz w:val="20"/>
                <w:szCs w:val="20"/>
                <w:color w:val="auto"/>
              </w:rPr>
            </w:pPr>
            <w:r>
              <w:rPr>
                <w:rFonts w:ascii="Arial" w:cs="Arial" w:eastAsia="Arial" w:hAnsi="Arial"/>
                <w:sz w:val="18"/>
                <w:szCs w:val="18"/>
                <w:b w:val="1"/>
                <w:bCs w:val="1"/>
                <w:color w:val="2B4C9B"/>
              </w:rPr>
              <w:t>37%</w:t>
            </w:r>
          </w:p>
        </w:tc>
        <w:tc>
          <w:tcPr>
            <w:tcW w:w="1660" w:type="dxa"/>
            <w:vAlign w:val="bottom"/>
            <w:tcBorders>
              <w:bottom w:val="single" w:sz="8" w:color="2B4C9B"/>
            </w:tcBorders>
          </w:tcPr>
          <w:p>
            <w:pPr>
              <w:jc w:val="right"/>
              <w:ind w:right="114"/>
              <w:spacing w:after="0"/>
              <w:rPr>
                <w:sz w:val="20"/>
                <w:szCs w:val="20"/>
                <w:color w:val="auto"/>
              </w:rPr>
            </w:pPr>
            <w:r>
              <w:rPr>
                <w:rFonts w:ascii="Arial" w:cs="Arial" w:eastAsia="Arial" w:hAnsi="Arial"/>
                <w:sz w:val="18"/>
                <w:szCs w:val="18"/>
                <w:color w:val="auto"/>
              </w:rPr>
              <w:t>36%</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U.S. government</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97%</w:t>
            </w:r>
          </w:p>
        </w:tc>
        <w:tc>
          <w:tcPr>
            <w:tcW w:w="16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98%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8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Borders>
              <w:bottom w:val="single" w:sz="8" w:color="2B4C9B"/>
            </w:tcBorders>
            <w:gridSpan w:val="2"/>
          </w:tcPr>
          <w:p>
            <w:pPr>
              <w:jc w:val="right"/>
              <w:ind w:right="128"/>
              <w:spacing w:after="0"/>
              <w:rPr>
                <w:sz w:val="20"/>
                <w:szCs w:val="20"/>
                <w:color w:val="auto"/>
              </w:rPr>
            </w:pPr>
            <w:r>
              <w:rPr>
                <w:rFonts w:ascii="Arial" w:cs="Arial" w:eastAsia="Arial" w:hAnsi="Arial"/>
                <w:sz w:val="18"/>
                <w:szCs w:val="18"/>
                <w:b w:val="1"/>
                <w:bCs w:val="1"/>
                <w:color w:val="2B4C9B"/>
              </w:rPr>
              <w:t>3%</w:t>
            </w:r>
          </w:p>
        </w:tc>
        <w:tc>
          <w:tcPr>
            <w:tcW w:w="1660" w:type="dxa"/>
            <w:vAlign w:val="bottom"/>
            <w:tcBorders>
              <w:bottom w:val="single" w:sz="8" w:color="2B4C9B"/>
            </w:tcBorders>
          </w:tcPr>
          <w:p>
            <w:pPr>
              <w:jc w:val="right"/>
              <w:ind w:right="114"/>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38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2B4C9B"/>
            </w:tcBorders>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100%</w:t>
            </w:r>
          </w:p>
        </w:tc>
        <w:tc>
          <w:tcPr>
            <w:tcW w:w="1660" w:type="dxa"/>
            <w:vAlign w:val="bottom"/>
            <w:tcBorders>
              <w:bottom w:val="single" w:sz="8" w:color="2B4C9B"/>
            </w:tcBorders>
            <w:shd w:val="clear" w:color="auto" w:fill="CFF0FC"/>
          </w:tcPr>
          <w:p>
            <w:pPr>
              <w:jc w:val="right"/>
              <w:ind w:right="114"/>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459"/>
        </w:trPr>
        <w:tc>
          <w:tcPr>
            <w:tcW w:w="3880" w:type="dxa"/>
            <w:vAlign w:val="bottom"/>
          </w:tcPr>
          <w:p>
            <w:pPr>
              <w:spacing w:after="0"/>
              <w:rPr>
                <w:sz w:val="24"/>
                <w:szCs w:val="24"/>
                <w:color w:val="auto"/>
              </w:rPr>
            </w:pPr>
          </w:p>
        </w:tc>
        <w:tc>
          <w:tcPr>
            <w:tcW w:w="2680" w:type="dxa"/>
            <w:vAlign w:val="bottom"/>
          </w:tcPr>
          <w:p>
            <w:pPr>
              <w:jc w:val="right"/>
              <w:ind w:right="710"/>
              <w:spacing w:after="0"/>
              <w:rPr>
                <w:sz w:val="20"/>
                <w:szCs w:val="20"/>
                <w:color w:val="auto"/>
              </w:rPr>
            </w:pPr>
            <w:r>
              <w:rPr>
                <w:rFonts w:ascii="Arial" w:cs="Arial" w:eastAsia="Arial" w:hAnsi="Arial"/>
                <w:sz w:val="18"/>
                <w:szCs w:val="18"/>
                <w:color w:val="2B4C9B"/>
              </w:rPr>
              <w:t>2</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Regulation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including Federal Acquisition Regulations (FAR) and Cost Accounting Standards (CAS), relating to the award, administration and performance of U.S. government and other contracts. These regulations set forth policies, procedures and requirements for the acquisition of goods and services by the U.S. government and impose a broad range of requirements, many of which are unique to government contracting and include procurement, import and export, security, contract termination and adjustment, and audit requirements. In addition, these regulations govern contract pricing and reimbursable costs by, among other things, requiring certification and disclosure of cost or pricing data in connection with certain contract negotiations, defining allowable and unallowable costs, and otherwise governing the right to reimbursement under various flexibly priced contracts. These laws and regulations impose specific cost accounting practices that may increase accounting and internal control costs associated with compliance with government standards. The U.S. government may revise its procurement practices or adopt new contract rules and regulations at any time. Our compliance with these regulations is monitored by the Defense Contract Management Agency and the Defense Contract Audit Agency.</w:t>
      </w:r>
    </w:p>
    <w:p>
      <w:pPr>
        <w:spacing w:after="0" w:line="3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spacing w:after="0" w:line="16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Some of our operations and service offerings involve our access to and use of personally identifiable information and protected health information, which activities are regulated by extensive federal and state privacy and data security laws requiring organizations to provide certain privacy protections and security safeguards for such information.</w:t>
      </w:r>
    </w:p>
    <w:p>
      <w:pPr>
        <w:spacing w:after="0" w:line="16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Internationally, we are subject to foreign government laws and regulations, and U.S. government laws, regulations, and procurement policies and practices (including laws and regulations relating to bribery of foreign government officials, import and export control, investments, exchange controls and repatriation of earnings). We are also susceptible to varying political and economic risks.</w:t>
      </w:r>
    </w:p>
    <w:p>
      <w:pPr>
        <w:spacing w:after="0" w:line="16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order to help ensure compliance with these complex laws and regulations, we have established policies and procedures that address our approach to meeting these requirements and also administer a robust ethics and compliance training program to maintain a compliance-oriented workforce.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and risks affecting our business are described in more detail under “Risk Factors”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Contracts</w:t>
      </w:r>
    </w:p>
    <w:p>
      <w:pPr>
        <w:spacing w:after="0" w:line="2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must comply with and are affected by laws and regulations relating to the formation, administration and performance of U.S. government and other contracts. The U.S. government procurement environment has evolved due to statutory and regulatory procurement reform initiatives. Budgetary pressures and reforms in the procurement process have increasingly caused many U.S. government agencies to purchase services and solutions using contracting processes that give them the ability to select multiple winners or pre-qualify certain contractors to provide various services or solutions on established general terms and conditions rather than through single award contracts. The predominant contracting methods through which U.S. government agencies procure services and solutions include the following:</w:t>
      </w:r>
    </w:p>
    <w:p>
      <w:pPr>
        <w:spacing w:after="0" w:line="150" w:lineRule="exact"/>
        <w:rPr>
          <w:sz w:val="20"/>
          <w:szCs w:val="20"/>
          <w:color w:val="auto"/>
        </w:rPr>
      </w:pPr>
    </w:p>
    <w:p>
      <w:pPr>
        <w:ind w:left="420" w:right="20"/>
        <w:spacing w:after="0" w:line="255" w:lineRule="auto"/>
        <w:rPr>
          <w:sz w:val="20"/>
          <w:szCs w:val="20"/>
          <w:color w:val="auto"/>
        </w:rPr>
      </w:pPr>
      <w:r>
        <w:rPr>
          <w:rFonts w:ascii="Arial" w:cs="Arial" w:eastAsia="Arial" w:hAnsi="Arial"/>
          <w:sz w:val="18"/>
          <w:szCs w:val="18"/>
          <w:i w:val="1"/>
          <w:iCs w:val="1"/>
          <w:color w:val="2B4C9B"/>
        </w:rPr>
        <w:t xml:space="preserve">Single Award Contracts. </w:t>
      </w:r>
      <w:r>
        <w:rPr>
          <w:rFonts w:ascii="Arial" w:cs="Arial" w:eastAsia="Arial" w:hAnsi="Arial"/>
          <w:sz w:val="18"/>
          <w:szCs w:val="18"/>
          <w:color w:val="000000"/>
        </w:rPr>
        <w:t>U.S. government agencies may procure services and solutions through single award contracts which specify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scope of work that will be delivered and identify the contractor that will provide the specified services. When an agency has a requirement, interested contractors are solicited, qualified and then provided with a request for proposal. The process of qualifying prospective bidders, soliciting proposals and evaluating contractor bids requires the agency to maintain a large, professional procurement staff and the bidding and selection process can take a year or more to complete. This method of contracting may provide the contractor with greater certainty of the timing and amounts to be received at the time of contract award because it generally results in the customer contracting for a specific scope of work from the single successful awardee.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20"/>
        <w:spacing w:after="0" w:line="253" w:lineRule="auto"/>
        <w:rPr>
          <w:sz w:val="20"/>
          <w:szCs w:val="20"/>
          <w:color w:val="auto"/>
        </w:rPr>
      </w:pPr>
      <w:r>
        <w:rPr>
          <w:rFonts w:ascii="Arial" w:cs="Arial" w:eastAsia="Arial" w:hAnsi="Arial"/>
          <w:sz w:val="18"/>
          <w:szCs w:val="18"/>
          <w:i w:val="1"/>
          <w:iCs w:val="1"/>
          <w:color w:val="2B4C9B"/>
        </w:rPr>
        <w:t xml:space="preserve">Indefinite Delivery, Indefinite Quantity (IDIQ) Contracts. </w:t>
      </w:r>
      <w:r>
        <w:rPr>
          <w:rFonts w:ascii="Arial" w:cs="Arial" w:eastAsia="Arial" w:hAnsi="Arial"/>
          <w:sz w:val="18"/>
          <w:szCs w:val="18"/>
          <w:color w:val="000000"/>
        </w:rPr>
        <w:t>The U.S. government uses IDIQ contracts to obtain commitments from contractors</w:t>
      </w:r>
      <w:r>
        <w:rPr>
          <w:rFonts w:ascii="Arial" w:cs="Arial" w:eastAsia="Arial" w:hAnsi="Arial"/>
          <w:sz w:val="18"/>
          <w:szCs w:val="18"/>
          <w:i w:val="1"/>
          <w:iCs w:val="1"/>
          <w:color w:val="2B4C9B"/>
        </w:rPr>
        <w:t xml:space="preserve"> </w:t>
      </w:r>
      <w:r>
        <w:rPr>
          <w:rFonts w:ascii="Arial" w:cs="Arial" w:eastAsia="Arial" w:hAnsi="Arial"/>
          <w:sz w:val="18"/>
          <w:szCs w:val="18"/>
          <w:color w:val="000000"/>
        </w:rPr>
        <w:t>to provide certain services or solutions on pre-established terms and conditions. The U.S. government then issues task orders under the IDIQ contracts to purchase the specific services or solutions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IDIQ contracts often have multi-year terms and unfunded ceiling amounts that enable, but not commit, the U.S. government to purchase substantial amounts of services or solutions from one or more contractors. At the time an IDIQ contract is awarded (prior to the letting of any task orders), a contractor may have limited or no visibility as to the ultimate amount of services or solutions that the U.S. government will purchase under the contract, and, in the case of a multi-award IDIQ, the contractor from which such purchases may be made.</w:t>
      </w:r>
    </w:p>
    <w:p>
      <w:pPr>
        <w:spacing w:after="0" w:line="152" w:lineRule="exact"/>
        <w:rPr>
          <w:sz w:val="20"/>
          <w:szCs w:val="20"/>
          <w:color w:val="auto"/>
        </w:rPr>
      </w:pPr>
    </w:p>
    <w:p>
      <w:pPr>
        <w:ind w:left="420" w:right="40"/>
        <w:spacing w:after="0" w:line="255" w:lineRule="auto"/>
        <w:rPr>
          <w:sz w:val="20"/>
          <w:szCs w:val="20"/>
          <w:color w:val="auto"/>
        </w:rPr>
      </w:pPr>
      <w:r>
        <w:rPr>
          <w:rFonts w:ascii="Arial" w:cs="Arial" w:eastAsia="Arial" w:hAnsi="Arial"/>
          <w:sz w:val="18"/>
          <w:szCs w:val="18"/>
          <w:i w:val="1"/>
          <w:iCs w:val="1"/>
          <w:color w:val="2B4C9B"/>
        </w:rPr>
        <w:t xml:space="preserve">U.S. General Services Administration (GSA) Schedule Contracts. </w:t>
      </w:r>
      <w:r>
        <w:rPr>
          <w:rFonts w:ascii="Arial" w:cs="Arial" w:eastAsia="Arial" w:hAnsi="Arial"/>
          <w:sz w:val="18"/>
          <w:szCs w:val="18"/>
          <w:color w:val="000000"/>
        </w:rPr>
        <w:t>The GSA maintains listings of approved suppliers of services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solutions with pre-negotiated prices for use throughout the U.S. government. In order for a company to provide services under a GSA Schedule contract, a company must be pre-qualified and awarded a contract by the GSA. When an agency uses a GSA Schedule to meet its requirements, the agency (or the GSA on behalf of the agency) conducts the procurement and bidders are limited to GSA Schedule-qualified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solutions that customers will ultimately purchase under the contract.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 Types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Generally, the type of contract used for the acquisition of our services and solutions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165" w:lineRule="exact"/>
        <w:rPr>
          <w:sz w:val="20"/>
          <w:szCs w:val="20"/>
          <w:color w:val="auto"/>
        </w:rPr>
      </w:pPr>
    </w:p>
    <w:p>
      <w:pPr>
        <w:ind w:left="500" w:right="80" w:hanging="330"/>
        <w:spacing w:after="0" w:line="25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Cost-reimbursement contracts provide for reimbursement of our direct contract costs and allocable indirect costs, plus a fee (contract profit). This type of contract is generally used when uncertainties involved in contract performance do not permit costs to be estimated with sufficient accuracy to use a fixed-price contract. Cost-reimbursement contracts usually subject us to lower risk and generally require us to use our best efforts to accomplish the scope of the work within a specified time and amount of costs.</w:t>
      </w:r>
    </w:p>
    <w:p>
      <w:pPr>
        <w:spacing w:after="0" w:line="163" w:lineRule="exact"/>
        <w:rPr>
          <w:rFonts w:ascii="Arial" w:cs="Arial" w:eastAsia="Arial" w:hAnsi="Arial"/>
          <w:sz w:val="18"/>
          <w:szCs w:val="18"/>
          <w:color w:val="auto"/>
        </w:rPr>
      </w:pPr>
    </w:p>
    <w:p>
      <w:pPr>
        <w:ind w:left="500" w:right="60" w:hanging="330"/>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their period of performance.</w:t>
      </w:r>
    </w:p>
    <w:p>
      <w:pPr>
        <w:spacing w:after="0" w:line="165" w:lineRule="exact"/>
        <w:rPr>
          <w:rFonts w:ascii="Arial" w:cs="Arial" w:eastAsia="Arial" w:hAnsi="Arial"/>
          <w:sz w:val="18"/>
          <w:szCs w:val="18"/>
          <w:color w:val="auto"/>
        </w:rPr>
      </w:pPr>
    </w:p>
    <w:p>
      <w:pPr>
        <w:ind w:left="500" w:right="440" w:hanging="330"/>
        <w:spacing w:after="0" w:line="256"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Firm-fixed price (FFP) contracts provide for a predetermined price for specific solutions. These contracts offer us potential increased profits if we can complete the work at lower costs than planned. While FFP contracts allow us to benefit from cost savings, these contracts also increase our exposure to reduced profits or losses from increased or unexpected costs.</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is finally determined. Given the relative amount of risk assumed by the contractor, cost-reimbursement and T&amp;M contracts generally have lower profitability than FFP contracts. For the proportionate amount of revenues derived from each type of contract for the last three fiscal years, see “Other Key Performance Measures—Contract Types” in “Management’s Discussion and Analysis of Financial Condition and Results of Operations” in Part II of this report.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“Selected Financial Data” in Part 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Backlog</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At February 1, 2019 and February 2, 2018 our total backlog was $13.8 billion and $10.2 billion, respectively. For a complete description of our backlog, see “Other Key Performance Measures—Net Bookings and Backlog” in “Management’s Discussion and Analysis of Financial Condition and Results of Operations” in Part II of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Competition</w:t>
      </w:r>
    </w:p>
    <w:p>
      <w:pPr>
        <w:spacing w:after="0" w:line="20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companies which may have greater name recognition, financial resources and larger technical staffs than we do. We also compete against smaller, more specialized companies that concentrate their resources on particular areas, as well as the U.S. government’s own capabilities. As a result of the diverse requirements of the U.S. government, we frequently collaborate with other companies to compete for large contracts and bid against these same companies in other situations. Our principal competitors include the following:</w:t>
      </w:r>
    </w:p>
    <w:p>
      <w:pPr>
        <w:spacing w:after="0" w:line="165" w:lineRule="exact"/>
        <w:rPr>
          <w:sz w:val="20"/>
          <w:szCs w:val="20"/>
          <w:color w:val="auto"/>
        </w:rPr>
      </w:pPr>
    </w:p>
    <w:p>
      <w:pPr>
        <w:ind w:left="500" w:hanging="330"/>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engineering and technical services divisions of large defense contractors that provide IT services in addition to other hardware systems and products, which include companies such as General Dynamics Corporation, Northrop Grumman Corporation, and Raytheon Company;</w:t>
      </w:r>
    </w:p>
    <w:p>
      <w:pPr>
        <w:spacing w:after="0" w:line="161" w:lineRule="exact"/>
        <w:rPr>
          <w:rFonts w:ascii="Arial" w:cs="Arial" w:eastAsia="Arial" w:hAnsi="Arial"/>
          <w:sz w:val="18"/>
          <w:szCs w:val="18"/>
          <w:color w:val="auto"/>
        </w:rPr>
      </w:pPr>
    </w:p>
    <w:p>
      <w:pPr>
        <w:ind w:left="500" w:right="8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focused principally on technical and IT services, such as Booz Allen Hamilton Inc., CACI International, Inc., Leidos Holdings, Inc., ManTech International Corporation, Serco Group plc, and Perspecta, Inc.;</w:t>
      </w:r>
    </w:p>
    <w:p>
      <w:pPr>
        <w:spacing w:after="0" w:line="155" w:lineRule="exact"/>
        <w:rPr>
          <w:rFonts w:ascii="Arial" w:cs="Arial" w:eastAsia="Arial" w:hAnsi="Arial"/>
          <w:sz w:val="18"/>
          <w:szCs w:val="18"/>
          <w:color w:val="auto"/>
        </w:rPr>
      </w:pPr>
    </w:p>
    <w:p>
      <w:pPr>
        <w:ind w:left="500" w:right="10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diversified commercial providers that also provide U.S. government IT services, such as Accenture plc, International Business Machines Corporation and Unisys Corporation; and</w:t>
      </w:r>
    </w:p>
    <w:p>
      <w:pPr>
        <w:spacing w:after="0" w:line="155"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such as Agility Logistics Corporation</w:t>
      </w:r>
    </w:p>
    <w:p>
      <w:pPr>
        <w:spacing w:after="0" w:line="18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compete on various factors, which include: our technical expertise and qualified and/or security-cleared personnel; our ability to deliver innovative cost-effective solutions in a timely manner; successful program execution on previous programs; our reputation and standing with customers; pricing; and the size and geographic presence of our Company.</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Competition within the government services industry has intensified which has led to fewer sole-source awards and an increased emphasis on cost competitiveness and affordability.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Patents and Proprietary Information</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technical services and solutions are not generally dependent on patent protection, although we do selectively seek patent protection. We claim a proprietary interest in certain of our solutions, software programs, methodologies and know-how. This proprietary information is protected by copyrights, trade secrets, licenses, contracts and other means. We selectively pursue opportunities to license or transfer our technologies to third parties.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solutions that we develop under the subcontract.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Research and Development</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information related to our research and development activities, see Note 1 of the notes to the consolidated financial statements contained within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Seasonality</w:t>
      </w:r>
    </w:p>
    <w:p>
      <w:pPr>
        <w:spacing w:after="0" w:line="3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government’s fiscal year ends on September 30. It is not uncommon for U.S. government agencies to award extra tasks or complete other contract actions leading up to the end of its fiscal year in order to avoid the loss of unexpended fiscal year funds, which may favorably impact our third fiscal quarter. In addition, revenues may be unfavorably impacted during our fourth fiscal quarter due to a greater number of holidays and higher utilization of vacation time. For selected quarterly financial data, see Note 16 of the notes to the consolidated financial statements contained within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Environmental Matters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Although we do not currently anticipate that compliance costs or the liabilities associated with environmental laws will materially and adversely affect us, we cannot ensure that we will not incur material costs or liabilities in the future. These regulations and risks are described in more detail under “Risk Factors”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our executive officers, see “Directors, Executive Officers and Corporate Governance” in Part III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Company Website and Available Information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Our corporate headquarters is located at 12010 Sunset Hills Road, Reston, VA 20190. Our phone number is (703) 676-4300 and our homepage is </w:t>
      </w:r>
      <w:r>
        <w:rPr>
          <w:rFonts w:ascii="Arial" w:cs="Arial" w:eastAsia="Arial" w:hAnsi="Arial"/>
          <w:sz w:val="18"/>
          <w:szCs w:val="18"/>
          <w:i w:val="1"/>
          <w:iCs w:val="1"/>
          <w:color w:val="auto"/>
        </w:rPr>
        <w:t>www.saic.com</w:t>
      </w:r>
      <w:r>
        <w:rPr>
          <w:rFonts w:ascii="Arial" w:cs="Arial" w:eastAsia="Arial" w:hAnsi="Arial"/>
          <w:sz w:val="18"/>
          <w:szCs w:val="18"/>
          <w:color w:val="auto"/>
        </w:rPr>
        <w:t>, which contains information about our Company and operations. Through a link on the Investor Relations section of our website, copies of each of our filings with the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a part of this report.</w:t>
      </w:r>
    </w:p>
    <w:p>
      <w:pPr>
        <w:spacing w:after="0" w:line="16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You may also request hard copies of the materials referenced in the preceding paragraph, at no cost, by emailing investor relations at InvestorRelations@saic.com.</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2B4C9B"/>
        </w:rPr>
        <w:t>6</w:t>
      </w:r>
    </w:p>
    <w:p>
      <w:pPr>
        <w:sectPr>
          <w:pgSz w:w="11900" w:h="16838" w:orient="portrait"/>
          <w:cols w:equalWidth="0" w:num="1">
            <w:col w:w="11300"/>
          </w:cols>
          <w:pgMar w:left="240" w:top="141" w:right="359" w:bottom="1440" w:gutter="0" w:footer="0" w:header="0"/>
        </w:sectPr>
      </w:pPr>
    </w:p>
    <w:bookmarkStart w:id="8" w:name="page9"/>
    <w:bookmarkEnd w:id="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1A. </w:t>
      </w:r>
      <w:r>
        <w:rPr>
          <w:rFonts w:ascii="Arial" w:cs="Arial" w:eastAsia="Arial" w:hAnsi="Arial"/>
          <w:sz w:val="18"/>
          <w:szCs w:val="18"/>
          <w:b w:val="1"/>
          <w:bCs w:val="1"/>
          <w:i w:val="1"/>
          <w:iCs w:val="1"/>
          <w:color w:val="2B4C9B"/>
        </w:rPr>
        <w:t>Risk Factors</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within this report and other documents we file with the SEC. These risks, as well as additional risks and uncertainties not currently known to us or that we currently believe are immaterial also may materially harm our business, financial condition or operating results and result in a decline in the price of our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Risks Relating to Our Business</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We depend on U.S. government agencies as our primary customer and, if our reputation or relationships with these agencies were harmed, our future revenues and cash flows would be adversely affected.</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generated either as a prime contractor or a subcontractor to other contractors engaged in work for the U.S. government over 95% of our total revenues during each of the last three fiscal years from contracts with the U.S. government. We expect to continue to derive substantially all of our revenues from work performed under U.S. government contracts. Our reputation and relationship with the U.S. government, and in particular with the agencies of the DoD, are key factors in maintaining and growing these revenues. Negative press reports or publicity, regardless of accuracy, could harm our reputation. If our reputation is negatively affected, or if we are suspended or debarred from contracting with government agencies for any reason, the amount of business with government and other customers would decrease and our future revenues, cash flows, and financial results would be adversely affected.</w:t>
      </w:r>
    </w:p>
    <w:p>
      <w:pPr>
        <w:spacing w:after="0" w:line="14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2B4C9B"/>
        </w:rPr>
        <w:t>A decline in the U.S. government defense budget, changes in spending or budgetary priorities, the failure to approve U.S. government budgets on a timely basis or delays in contract awards and other procurement activity may significantly and adversely affect our future revenues, cash flow and financial results.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we generate substantially all of our revenues from contracts with U.S. government agencies, our operating results could be adversely affected by spending caps or changes in budgetary priorities, as well as by delays in the government budget process, program starts or the award of contracts or task orders under contracts. Current U.S. government spending levels for defense-related and other programs may not be sustained beyond government fiscal year (GFY) 2019.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Without a change to current law, budget levels set for GFY 2020 will constitute a significant cut to both defense and non-defense spending from GFY 2019 levels. The only way to avoid these significant reductions set forth in the 2011 Budget Control Act is for there to be an affirmative agreement to lift defense and non-defense spending caps, as has been done for the past six GFYs.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the U.S. Congress does not complete a budget before the end of the fiscal year, government operations typically are funded through one or more continuing resolutions that authorize agencies of the U.S. government to continue to operate, but do not authorize new spending initiatives. When the U.S. government operates under a continuing resolution, contract awards may be delayed, canceled, or funded at lower levels which could adversely impact our operations, cash flows and financial results. While the federal government is currently funded in full through the end of GFY 2019, there is a strong possibility that GFY 2020 will begin under a continuing resolution lasting several weeks or months.</w:t>
      </w:r>
    </w:p>
    <w:p>
      <w:pPr>
        <w:spacing w:after="0" w:line="16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There is also a possibility that an impasse on policy issues, such as immigration, could threaten continuous government funding past September 30, 2019. Immigration issues were the root cause of a five-week government shutdown from December 2018 to January 2019, and continue to be the source of partisan disputes. An impasse over immigration or other policy issues could result in another federal government shutdown, which could cause us to incur labor or other costs without reimbursement under customer contracts or the delay or cancellation of key programs, and could adversely affect our operations, cash flows and financial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7</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spending or delay contract or task order awards for defense-related programs from which we would otherwise expect to derive a significant portion of our future revenues.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revenues and limit our growth prospects.</w:t>
      </w:r>
    </w:p>
    <w:p>
      <w:pPr>
        <w:spacing w:after="0" w:line="143" w:lineRule="exact"/>
        <w:rPr>
          <w:sz w:val="20"/>
          <w:szCs w:val="20"/>
          <w:color w:val="auto"/>
        </w:rPr>
      </w:pPr>
    </w:p>
    <w:p>
      <w:pPr>
        <w:jc w:val="both"/>
        <w:ind w:right="480"/>
        <w:spacing w:after="0" w:line="269" w:lineRule="auto"/>
        <w:rPr>
          <w:sz w:val="20"/>
          <w:szCs w:val="20"/>
          <w:color w:val="auto"/>
        </w:rPr>
      </w:pPr>
      <w:r>
        <w:rPr>
          <w:rFonts w:ascii="Arial" w:cs="Arial" w:eastAsia="Arial" w:hAnsi="Arial"/>
          <w:sz w:val="18"/>
          <w:szCs w:val="18"/>
          <w:b w:val="1"/>
          <w:bCs w:val="1"/>
          <w:i w:val="1"/>
          <w:iCs w:val="1"/>
          <w:color w:val="2B4C9B"/>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U.S. government contracts, which affect how we do business with our customers and may impose added costs on our business.</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our U.S. government contracts contain organizational conflict of interest (OCI) clauses that may limit our ability to compete for or perform certain other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B4C9B"/>
        </w:rPr>
        <w:t>The U.S. government may adopt new contract rules and regulations or revise its procurement practices in a manner adverse to us at any time.</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industry continues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future revenues, profitability and prospects.</w:t>
      </w:r>
    </w:p>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Our business is subject to reviews, audits and cost adjustments by the U.S. government, which, if resolved unfavorably to us, could adversely affect our profitability, cash flows or growth prospects.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Defense Contract Audit Agency (DCAA), Defense Contract Management Agency (DCMA) and others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(CAS) can result in decremented billing rates to U.S. government customers until the control deficiencies are corrected and their remediation is accepted by the DCMA.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B4C9B"/>
        </w:rPr>
        <w:t>8</w:t>
      </w:r>
    </w:p>
    <w:p>
      <w:pPr>
        <w:sectPr>
          <w:pgSz w:w="11900" w:h="16838" w:orient="portrait"/>
          <w:cols w:equalWidth="0" w:num="1">
            <w:col w:w="11340"/>
          </w:cols>
          <w:pgMar w:left="240" w:top="141" w:right="319" w:bottom="1440" w:gutter="0" w:footer="0" w:header="0"/>
        </w:sectPr>
      </w:pPr>
    </w:p>
    <w:bookmarkStart w:id="10" w:name="page11"/>
    <w:bookmarkEnd w:id="1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the U.S. government imposing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U.S. government.</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indirect cost audits by the DCAA of our business remain open for fiscal 2010 and subsequent years. We have recorded contract revenues subsequent to and including fiscal 2010 based on an estimate of costs that we believe will be approved on final audit. However, we do not know the outcome of any ongoing or future audits or whether future adjustments will exceed our reserves for potential adjustments.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recorded reserves for estimated net amounts to be refunded to customers for potential adjustments for indirect cost audits and compliance with CAS for indemnification obligations owing to former Parent for periods prior to the spin-off date. Any additional amounts which may be determined to be owed for periods prior to the separation will be allocated to former Parent and us in proportions determined in accordance with the Distribution Agreement. Additional amounts that are allocated to us could have a material, adverse impact to our profitability and cash flows. For a more detailed discussion of the terms of the Distribution Agreement governing financial impacts of audits and reviews for periods prior to the spin-off, see Note 15 of the notes to the consolidated financial statements contained within this report.</w:t>
      </w:r>
    </w:p>
    <w:p>
      <w:pPr>
        <w:spacing w:after="0" w:line="14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Our business is subject to governmental review and investigation which could adversely affect our profitability, cash position and growth prospects.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routinely subject to governmental investigations relating to our contracts and operations. If a review or investigation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w:t>
      </w:r>
    </w:p>
    <w:p>
      <w:pPr>
        <w:spacing w:after="0" w:line="1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B4C9B"/>
        </w:rPr>
        <w:t>The U.S. government may terminate, cancel, modify or curtail our contracts at any time and, if we do not replace them, we may be unable to achieve or sustain revenue growth and may suffer a decline in revenues and profitability.</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may extend for several years and include one or more base years and one or more option years. Under our contracts, the U.S. government generally has the right not to exercise options to extend or expand our contracts and may otherwise terminate, cancel, modify or curtail our contracts at its convenience. Any decision by the U.S. government not to exercise contract options or to terminate, cancel, modify or curtail our major programs or contracts would adversely affect our revenues, revenue growth and profitability.</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If a government customer terminates a contract for default, we may be exposed to liability, including for excess costs incurred by the customer in procuring undelivered services and solutions from another source. Depending on the nature and value of the contract, a performance issue or termination for default could cause our actual results to differ from those anticipated and could harm our reputation.</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9</w:t>
      </w:r>
    </w:p>
    <w:p>
      <w:pPr>
        <w:sectPr>
          <w:pgSz w:w="11900" w:h="16838" w:orient="portrait"/>
          <w:cols w:equalWidth="0" w:num="1">
            <w:col w:w="11360"/>
          </w:cols>
          <w:pgMar w:left="240" w:top="141" w:right="299" w:bottom="1440" w:gutter="0" w:footer="0" w:header="0"/>
        </w:sectPr>
      </w:pPr>
    </w:p>
    <w:bookmarkStart w:id="11" w:name="page12"/>
    <w:bookmarkEnd w:id="1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B4C9B"/>
        </w:rPr>
        <w:t>We face aggressive competition that can impact our ability to obtain contracts and may affect our future revenues, profitability and growth prospects.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as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compete with larger companies that have greater name recognition, financial resources and larger technical staffs and with smaller, more specialized companies that are able to concentrate their resources on particular areas. Additionally, we may compete with the U.S. government’s own capabilities. To remain competitive, we must consistently provide superior service, technology and performance on a cost-effective basis to our customers and there is no assurance that we will do so.</w:t>
      </w:r>
    </w:p>
    <w:p>
      <w:pPr>
        <w:spacing w:after="0" w:line="14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A failure to attract, train, retain and utilize skilled employees and our senior management team would adversely affect our ability to execute our strategy and may disrupt our operations.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 train and retain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future results. In addition, salaries and related costs are a significant portion of the cost of providing our services and, accordingly, our ability to efficiently utilize our workforce impacts our profitability. If our employees are under-utilized, our profitability could suffer.</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3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B4C9B"/>
        </w:rPr>
        <w:t>We may make acquisitions, investments, joint ventures and divestitures in the future that involve numerous risks, which if realized, may adversely affect our business and our future results.</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Facility also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65" w:lineRule="exact"/>
        <w:rPr>
          <w:sz w:val="20"/>
          <w:szCs w:val="20"/>
          <w:color w:val="auto"/>
        </w:rPr>
      </w:pPr>
    </w:p>
    <w:p>
      <w:pPr>
        <w:ind w:left="500" w:right="340" w:hanging="330"/>
        <w:spacing w:after="0" w:line="262"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00" w:right="6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successfully integrate acquired businesses, such as failing to successfully implement IT and other control systems relating to the operations of any acquired business;</w:t>
      </w:r>
    </w:p>
    <w:p>
      <w:pPr>
        <w:spacing w:after="0" w:line="155" w:lineRule="exact"/>
        <w:rPr>
          <w:rFonts w:ascii="Arial" w:cs="Arial" w:eastAsia="Arial" w:hAnsi="Arial"/>
          <w:sz w:val="18"/>
          <w:szCs w:val="18"/>
          <w:color w:val="auto"/>
        </w:rPr>
      </w:pPr>
    </w:p>
    <w:p>
      <w:pPr>
        <w:ind w:left="500" w:right="8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generate sufficient earnings to meet the required Leverage Ratio under the Credit Facility, which would give lenders the right to, among other things, foreclose on our assets;</w:t>
      </w:r>
    </w:p>
    <w:p>
      <w:pPr>
        <w:spacing w:after="0" w:line="155" w:lineRule="exact"/>
        <w:rPr>
          <w:rFonts w:ascii="Arial" w:cs="Arial" w:eastAsia="Arial" w:hAnsi="Arial"/>
          <w:sz w:val="18"/>
          <w:szCs w:val="18"/>
          <w:color w:val="auto"/>
        </w:rPr>
      </w:pPr>
    </w:p>
    <w:p>
      <w:pPr>
        <w:ind w:left="500" w:right="104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155" w:lineRule="exact"/>
        <w:rPr>
          <w:rFonts w:ascii="Arial" w:cs="Arial" w:eastAsia="Arial" w:hAnsi="Arial"/>
          <w:sz w:val="18"/>
          <w:szCs w:val="18"/>
          <w:color w:val="auto"/>
        </w:rPr>
      </w:pPr>
    </w:p>
    <w:p>
      <w:pPr>
        <w:ind w:left="500" w:right="540" w:hanging="330"/>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61" w:lineRule="exact"/>
        <w:rPr>
          <w:rFonts w:ascii="Arial" w:cs="Arial" w:eastAsia="Arial" w:hAnsi="Arial"/>
          <w:sz w:val="18"/>
          <w:szCs w:val="18"/>
          <w:color w:val="auto"/>
        </w:rPr>
      </w:pPr>
    </w:p>
    <w:p>
      <w:pPr>
        <w:ind w:left="500" w:right="74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56"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In addition, we may periodically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We may not be able to successfully integrate the business of Engility with our own or realize the anticipated benefits of the merger in the expected time frame, or at all.</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ability to realize the anticipated benefits of the merger will depend, to a large extent, on our ability to integrate our and Engility’s business. The merger involves the combination of two companies that operated as independent public companies. The combined company will be required to devote significant management attention and resources to integrating our business practices with those of Engility. The integration process may disrupt the business and, if implemented ineffectively or if impacted by unforeseen negative economic or market conditions or other factors, we may not realize the full anticipated benefits of the merger. Potential difficulties that the combined company may encounter as part of the integration process include the following:</w:t>
      </w:r>
    </w:p>
    <w:p>
      <w:pPr>
        <w:spacing w:after="0" w:line="168" w:lineRule="exact"/>
        <w:rPr>
          <w:sz w:val="20"/>
          <w:szCs w:val="20"/>
          <w:color w:val="auto"/>
        </w:rPr>
      </w:pPr>
    </w:p>
    <w:p>
      <w:pPr>
        <w:ind w:left="500" w:right="660" w:hanging="330"/>
        <w:spacing w:after="0" w:line="262"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 with Engility in a manner that permits the combined company to achieve the full revenue and cost synergies and other benefits anticipated to result from the merger;</w:t>
      </w:r>
    </w:p>
    <w:p>
      <w:pPr>
        <w:spacing w:after="0" w:line="155"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customers and strategic partners who may not wish to continue their relationships with the combined company;</w:t>
      </w:r>
    </w:p>
    <w:p>
      <w:pPr>
        <w:spacing w:after="0" w:line="184" w:lineRule="exact"/>
        <w:rPr>
          <w:rFonts w:ascii="Arial" w:cs="Arial" w:eastAsia="Arial" w:hAnsi="Arial"/>
          <w:sz w:val="18"/>
          <w:szCs w:val="18"/>
          <w:color w:val="auto"/>
        </w:rPr>
      </w:pPr>
    </w:p>
    <w:p>
      <w:pPr>
        <w:ind w:left="500" w:right="20" w:hanging="330"/>
        <w:spacing w:after="0" w:line="256"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required regulatory approvals from governmental entities may result in limitations, additional costs or placement of restrictions on the conduct of the combined company, imposition of additional material costs on or materially limiting the revenues of the combined company following the merger;</w:t>
      </w:r>
    </w:p>
    <w:p>
      <w:pPr>
        <w:spacing w:after="0" w:line="161" w:lineRule="exact"/>
        <w:rPr>
          <w:rFonts w:ascii="Arial" w:cs="Arial" w:eastAsia="Arial" w:hAnsi="Arial"/>
          <w:sz w:val="18"/>
          <w:szCs w:val="18"/>
          <w:color w:val="auto"/>
        </w:rPr>
      </w:pPr>
    </w:p>
    <w:p>
      <w:pPr>
        <w:ind w:left="500" w:hanging="330"/>
        <w:spacing w:after="0" w:line="25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business partners; and</w:t>
      </w:r>
    </w:p>
    <w:p>
      <w:pPr>
        <w:spacing w:after="0" w:line="163"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merger.</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decreases in the amount of expected revenues and diversion of management’s time and energy, which could materially impact the business, financial condition and our results of operations. These benefits may not be achieved within the anticipated time frame, or at all. Furthermore, additional unanticipated costs may be incurred in the integration of</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9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businesses. All of these factors could decrease or delay the anticipated benefits of the merger and negatively impact us. These and other factors could adversely affect our ability to maintain relationships with customers, suppliers, employees and other partners, and our ability to achieve the anticipated benefits of the merger.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and Engility will incur direct and indirect costs as a result of the merger.</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and Engility will incur substantial expenses in connection with and as a result of the merger and, over a period of time following the completion of the merger, we expect to incur substantial expenses in connection with coordinating our businesses, operations, policies and procedures. While we have assumed that a certain level of transaction expenses will be incurred, factors beyond our control could affect the total amount or the timing of these expenses. Many of the expenses that will be incurred, by their nature, are difficult to estimate accurately.</w:t>
      </w:r>
    </w:p>
    <w:p>
      <w:pPr>
        <w:spacing w:after="0" w:line="74"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b w:val="1"/>
          <w:bCs w:val="1"/>
          <w:i w:val="1"/>
          <w:iCs w:val="1"/>
          <w:color w:val="2B4C9B"/>
        </w:rPr>
        <w:t>In connection with the merger, we may be required to take write-downs or write-offs, restructuring and impairment or other charges that could negatively affect our business, assets, liabilities, prospects, outlook, financial condition and results of operations.</w:t>
      </w:r>
    </w:p>
    <w:p>
      <w:pPr>
        <w:spacing w:after="0" w:line="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Although we have conducted extensive due diligence on Engility in connection with the merger, we cannot assure that this diligence revealed all material issues that may be present, that it would be possible to uncover all material issues through a customary amount of due diligence, or that factors outside of our control will not later arise. Even if our due diligence successfully identifies certain risks, unexpected risks may arise and previously known risks may materialize in a manner not consistent with our preliminary risk analysis. Further, as a result of the merger, purchase accounting, and the proposed operation of the company after closing, we may be required to take write-offs or write-downs, restructuring and impairment or other charges that could negatively affect business, assets, liabilities, prospects, outlook, financial condition and results of operations after closing.</w:t>
      </w:r>
    </w:p>
    <w:p>
      <w:pPr>
        <w:spacing w:after="0" w:line="7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Our use of net operating loss carryforwards and other tax attributes to offset future taxable income may become limited in the event that we or the IRS determines that we have experienced an ownership change.</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February 1, 2019, we have estimated $472 million of net operating loss (NOL), $19 million of disallowed interest carryforwards for U.S. Federal income tax purposes, and tax basis in our amortizable goodwill and other intangible assets of approximately $696 million. Under Sections 382 and 383 of the Internal Revenue Code of 1986, as amended (the Code), if a corporation undergoes an “ownership change,” the corporation’s ability to use its pre-change net operating loss carryforwards and other pre-change tax attributes, such as its adjusted tax basis in its amortizable goodwill, to offset its post-change income and taxes may be limited. Such an ownership change occurred during the acquisition of Engility Holdings, Inc. and as a result of these limitations, $3 million of tax credit carryforwards were eliminated in purchase accounting.</w:t>
      </w:r>
    </w:p>
    <w:p>
      <w:pPr>
        <w:spacing w:after="0" w:line="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Pension funding and costs are dependent upon several economic assumptions which if changed may cause our future earnings and cash flow to fluctuate significantly.</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the acquisition of Engility, which closed on January 14, 2019, we assumed the obligations under Engility's defined benefit pension plan (the Pension Plan). The impact of the Pension Plan on our GAAP earnings may be volatile in that the amount of expense we record for the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stockholders’ equity. In addition, the funding of the Pension Plan may be subject to changes caused by legislative or regulatory actions.</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the Pension Plan, or other adverse changes to the Pension Plan could require us to make significant funding contributions and affect cash flows in future periods.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the acquisition of Engility, we also assumed the obligations under a Retiree Health Reimbursement Account plan (RHRA). The impact of Engility’s RHRA on our U.S. generally accepted accounting principles (GAAP) earnings may be volatile in that the amount of expense we record for the plan may materially change from year to year because those calculations are sensitive to several key economic assumptions including interest rates and actuarial assumptions related to participant mortality, retirement and termination.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12</w:t>
      </w:r>
    </w:p>
    <w:p>
      <w:pPr>
        <w:sectPr>
          <w:pgSz w:w="11900" w:h="16838" w:orient="portrait"/>
          <w:cols w:equalWidth="0" w:num="1">
            <w:col w:w="11400"/>
          </w:cols>
          <w:pgMar w:left="240" w:top="141" w:right="259" w:bottom="1440" w:gutter="0" w:footer="0" w:header="0"/>
        </w:sectPr>
      </w:pPr>
    </w:p>
    <w:bookmarkStart w:id="14" w:name="page15"/>
    <w:bookmarkEnd w:id="1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 government Cost Accounting Standards govern the extent to which postretirement costs and plan contributions are allocable to and recoverable under contracts with the U.S. government. On December 27, 2011 the U.S. government’s Cost Accounting Standards Board published a final rule that harmonizes Cost Accounting Standards (CAS) pension cost reimbursement rules with the Pension Protection Act of 2006 (PPA) funding requirements. The rule is expected to eventually mitigate the mismatch between CAS costs and PPA-amended Employee Retirement Income Security Act of 1974 (ERISA) minimum funding requirements, and result in an acceleration of allowable CAS pension costs as compared to the prior rules. We anticipate that government contractors will be entitled to an equitable adjustment for any additional CAS contract costs resulting from the final rule. As a result, we have sought and expect to continue to seek reimbursement from the U.S. government for a portion of our postretirement costs and plan contributions. For additional information related to our pension funding and costs, see Note 8 of the notes to the consolidated financial statements contained within this report.</w:t>
      </w:r>
    </w:p>
    <w:p>
      <w:pPr>
        <w:spacing w:after="0" w:line="25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B4C9B"/>
        </w:rPr>
        <w:t>Our earnings and profitability may vary based on the mix of our contracts and may be adversely affected by our failure to accurately estimate and manage costs, time and resources.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 revenues under various types of contracts, which include cost-reimbursement, T&amp;M and FFP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 To varying degrees, each of our contract types involves some risk that we could underestimate the costs and resources necessary to fulfill the contract. Our profitability is adversely affected when we incur costs on cost-reimbursement and T&amp;M contracts that we cannot bill to our customers. While FFP contracts allow us to benefit from cost savings, these contracts also increase our exposure to the risk of cost overruns. Revenues derived from FFP contracts represented approximately 27% of our total revenues for fiscal 2019. When making proposals on FFP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14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B4C9B"/>
        </w:rPr>
        <w:t>We use estimates in recognizing revenues and, if we make changes to estimates used in recognizing revenues, our profitability may be adversely affected.</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significant portion of our revenues are recognized on performance obligations satisfied over time, which requires estimates of total costs at completion, fees earned, or both. Particularly due to the technical nature of the services being performed and the length of certain performance obligations, this estimation process is complex and involves significant judgment. Adjustments to original estimates are often required as work progresses, experience is gained and additional information becomes known, even though the scope of the work required under the performance obligation may not change. Any adjustment as a result of a change in estimate is recognized immediately. Changes in the underlying assumptions, circumstances or estimates could result in adjustments that may adversely affect future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Our business and financial results could be negatively affected by cyber or other security threats.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U.S. government contractor and a provider of IT services operating in multiple regulated industries and geographies, we handle a variety of sensitive information including personally identifiable information, protected health information, personnel information, classified information, and financial information, concerning our business and employees and those of our customers. We are continuously exposed to cyber and other security threats, including computer viruses, attacks by hackers, malware, insider threats and physical break-ins. Any unauthorized electronic or physical intrusion or other security threat may jeopardize the protection of sensitive or other information stored or transmitted through our IT systems and networks. This could lead to disruptions in mission-critical systems, unauthorized release of sensitive information and the theft or corruption of data. Although we have implemented and regularly update and improve policies, procedures and other controls to monitor, protect against, detect and mitigate cyber and other security threats, attempts to gain unauthorized access to our IT systems 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13</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networks are becoming more sophisticated. We, however, seek to detect and investigate all security events and prevent their occurrence.</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we work with industry and the U.S. government to share threat intelligence and promote increased awareness and enhanced protections against cybersecurity threats. However, because of the evolving nature of these security threats, there can be no assurance that our policies, procedures and other controls will detect or prevent them, and we cannot predict their full impact. We may experience similar security threats to the IT systems that we develop, install or maintain under customer contracts, including customer contracts under which we may have access to or management responsibility for customer databases or networks that contain sensitive information relating to our customers, their employees or related third parties. Although we work cooperatively with our customers to seek to minimize the impacts of cyber and other security threats, we must usually rely on the safeguards used or required by those customers. In the event of unauthorized access to sensitive information for which are responsible under customer contracts, our customers, their employees, or third parties may seek to hold us liable for any costs or other damages associated with the unauthorized access. In addition, government agencies may bring legal actions against us for violation of or noncompliance with regulatory requirements relating to any unauthorized access to sensitive information. Any remediation costs, damages or other liabilities related to unauthorized access of sensitive information of ours or our customers caused by cyber or other security threats may not be fully insured or indemnified by other means. Occurrence of any unauthorized access caused by these security threats could adversely affect our reputation, business operations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Customer systems failures could damage our reputation and adversely affect our revenues and profitability.</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14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Legal disputes could require us to pay potentially large damage awards and could be costly to defend, which would adversely affect our cash balances and profitability, and could damage our reputation.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a number of lawsuits and claims described under “Legal Proceedings” in Part I of this report. We are also subject to, and may become a party to, a variety of other litigation or claims and suits that arise from time to time in the ordinary course of our business. The Department of Justice and other enforcement agencies of the U.S. government may bring claims or lawsuits against us in connection with our performance of government contracts or our billing or record-keeping relating to those contracts. The Department of Justice has considerably more resources at its disposal than we do, and can bring suspension and debarment proceedings against us that would prevent us from working for some or all U.S. government customers. In addition, certain statutes under which the Department of Justice may bring claims (like the False Claims Act) provide for treble damages and penalties on a per invoice basis against government contractors. These circumstances generally give the Department of Justice significantly more leverage in any legal dispute with us than if we were defending ourselves against claims brought by a commercial enterprise. Adverse judgments or settlements in some or all of these legal disputes may result in significant monetary damages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under “Legal Proceedings” in Part I of this report, are subject to inherent uncertainties and management’s view of these matters may change in the future.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14</w:t>
      </w:r>
    </w:p>
    <w:p>
      <w:pPr>
        <w:sectPr>
          <w:pgSz w:w="11900" w:h="16838" w:orient="portrait"/>
          <w:cols w:equalWidth="0" w:num="1">
            <w:col w:w="11400"/>
          </w:cols>
          <w:pgMar w:left="240" w:top="141" w:right="259" w:bottom="1440" w:gutter="0" w:footer="0" w:header="0"/>
        </w:sectPr>
      </w:pPr>
    </w:p>
    <w:bookmarkStart w:id="16" w:name="page17"/>
    <w:bookmarkEnd w:id="1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B4C9B"/>
        </w:rPr>
        <w:t>Our business is subject to numerous legal and regulatory requirements and any violation of these requirements or any misconduct by our employees, subcontractors, agents or business partners could harm our business and reputation.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and our future results. Such misconduct could include fraud or other improper activities such as falsifying time or other records, failure to comply with our policies and procedures or violations of applicable laws and regulations.</w:t>
      </w:r>
    </w:p>
    <w:p>
      <w:pPr>
        <w:spacing w:after="0" w:line="14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2B4C9B"/>
        </w:rPr>
        <w:t>Goodwill and intangible assets represent a significant amount of our total assets and any impairment of these assets would negatively impact our results of operations.</w:t>
      </w:r>
    </w:p>
    <w:p>
      <w:pPr>
        <w:spacing w:after="0" w:line="13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Goodwill and intangible assets are tested for impairment annually or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B4C9B"/>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or experience with our customers may perform services as our subcontractor that we cannot otherwise provide ourselves, and that exposure could enhance such companies’ prospect of securing a future position as a prime U.S. government contractor which could increase competition for future contracts and impair our ability to win these contracts.</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In addition, we have certain obligations to our former Parent to permit it to perform up to one hundred percent (100%) of task orders as a subcontractor to us under certain contracts that were novated to us in the spin-off transaction. Subcontractor performance deficiencies under subcontracts with us as the prime contractor, including performance by our former Parent, could lead to significant losses in future periods and could result in our termination for default as the prime contractor even though it was the subcontractor that failed to perform and not our personnel.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15</w:t>
      </w:r>
    </w:p>
    <w:p>
      <w:pPr>
        <w:sectPr>
          <w:pgSz w:w="11900" w:h="16838" w:orient="portrait"/>
          <w:cols w:equalWidth="0" w:num="1">
            <w:col w:w="11400"/>
          </w:cols>
          <w:pgMar w:left="240" w:top="141" w:right="259" w:bottom="1440" w:gutter="0" w:footer="0" w:header="0"/>
        </w:sectPr>
      </w:pPr>
    </w:p>
    <w:bookmarkStart w:id="17" w:name="page18"/>
    <w:bookmarkEnd w:id="1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B4C9B"/>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may permit the U.S. government to disclose or license this information to third parties, including, in some instances, our competitors.</w:t>
      </w:r>
    </w:p>
    <w:p>
      <w:pPr>
        <w:spacing w:after="0" w:line="17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solutions we provide. The expense of defending these claims may adversely affect our financial results.</w:t>
      </w:r>
    </w:p>
    <w:p>
      <w:pPr>
        <w:spacing w:after="0" w:line="13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2B4C9B"/>
        </w:rPr>
        <w:t>We could incur significant liabilities and suffer negative publicity if our detection systems fail to operate as intended or our assessment reports prove to be inaccurate.</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developed and sold tsunami buoys and related services that are designed to assist in the detection of tsunamis or large waves that may have catastrophic consequences to coastal communities. Our buoys have been deployed by the U.S. National Oceanic and Atmospheric Administration and non-U.S. governments in other areas around the world. There are many factors, some of which are beyond our control, which could result in the failure of these buoys. We may develop other products or provide services for the detection of natural or man-made threats that could have catastrophic consequences if the threats are realized. In addition, we prepare reports for various government customers in the evaluation or assessment of the consequences of certain threats or natural disasters. The failure of our products and services to help detect the threats for which they were designed or the failure of our reports to accurately assess the consequences of certain threats could contribute to injury, death and extensive property damage and may lead to product liability, professional liability, or other claims against us. Further, if our products, services or reports fail to, or are perceived to have failed to help detect or adequately assess a threat, the negative publicity from such incident could have a material adverse effect on our business.</w:t>
      </w:r>
    </w:p>
    <w:p>
      <w:pPr>
        <w:spacing w:after="0" w:line="15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2B4C9B"/>
        </w:rPr>
        <w:t>Our services and operations sometimes involve using, handling or disposing of hazardous substances or dangerous materials, which could expose us to potentially significant liabilities.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our services and operations involve the use,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Although we do not have extensive real estate holdings,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face risks associated with our international business.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and may expose us to potentially significant contract losses. In addition, we provide services and solutions in support of U.S. government customers in countries with governments that may be or may become unstable or are in areas of active military or intelligence operations. Operating in such environments may increase the risk of an incident resulting in injury or loss of life, or damage or destruction of property, or inability to meet our contractual obligations.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Forward-Looking Statement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You may not be able to rely on forward-looking statements.</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report contains forward-looking statements that are based on our management’s belief and assumptions about the future in light of information currently available to our management. In some cases, you can identify forward-looking statements by words such as “may,” “will,” “should,” “expects,” “projects,” “intends,” “plans,” “anticipates,” “believes,” “estimates,” “predicts,” “potential,” “continue,” “outlook,”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the risk factors discussed above.</w:t>
      </w:r>
    </w:p>
    <w:p>
      <w:pPr>
        <w:spacing w:after="0" w:line="17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1B. </w:t>
      </w:r>
      <w:r>
        <w:rPr>
          <w:rFonts w:ascii="Arial" w:cs="Arial" w:eastAsia="Arial" w:hAnsi="Arial"/>
          <w:sz w:val="18"/>
          <w:szCs w:val="18"/>
          <w:b w:val="1"/>
          <w:bCs w:val="1"/>
          <w:i w:val="1"/>
          <w:iCs w:val="1"/>
          <w:color w:val="2B4C9B"/>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2. </w:t>
      </w:r>
      <w:r>
        <w:rPr>
          <w:rFonts w:ascii="Arial" w:cs="Arial" w:eastAsia="Arial" w:hAnsi="Arial"/>
          <w:sz w:val="18"/>
          <w:szCs w:val="18"/>
          <w:b w:val="1"/>
          <w:bCs w:val="1"/>
          <w:i w:val="1"/>
          <w:iCs w:val="1"/>
          <w:color w:val="2B4C9B"/>
        </w:rPr>
        <w:t>Properties</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occupy approximately 4 million square feet of floor space, substantially all of which is leased. Our corporate headquarters is located in Reston, Virginia. Our principal locations outside of Reston, Virginia include Chantilly, Virginia, Huntsville, Alabama, Oak Ridge, Tennessee, El Segundo, California and Annapolis Junction, Maryland. As of February 1, 2019, we conducted our operations in approximately 190 offices located in 32 states, the District of Columbia, and various foreign countries. We consider our facilities suitable and adequate for our present needs, which are generally limited to office, warehouse and computer laboratory spaces.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3. </w:t>
      </w: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We have provided information about legal proceedings in which we are involved in Note 15 of the notes to the consolidated financial statements contained within this report.</w:t>
      </w:r>
    </w:p>
    <w:p>
      <w:pPr>
        <w:spacing w:after="0" w:line="15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also routinely subject to investigations and reviews relating to compliance with various laws and regulations. Additional information regarding such investigations and reviews is described under the heading “Government Investigations, Audits and Reviews” in Note 15 of the notes to the consolidated financial statements contained within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4. </w:t>
      </w:r>
      <w:r>
        <w:rPr>
          <w:rFonts w:ascii="Arial" w:cs="Arial" w:eastAsia="Arial" w:hAnsi="Arial"/>
          <w:sz w:val="18"/>
          <w:szCs w:val="18"/>
          <w:b w:val="1"/>
          <w:bCs w:val="1"/>
          <w:i w:val="1"/>
          <w:iCs w:val="1"/>
          <w:color w:val="2B4C9B"/>
        </w:rPr>
        <w:t>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17</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2B4C9B"/>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5. </w:t>
      </w:r>
      <w:r>
        <w:rPr>
          <w:rFonts w:ascii="Arial" w:cs="Arial" w:eastAsia="Arial" w:hAnsi="Arial"/>
          <w:sz w:val="18"/>
          <w:szCs w:val="18"/>
          <w:b w:val="1"/>
          <w:bCs w:val="1"/>
          <w:i w:val="1"/>
          <w:iCs w:val="1"/>
          <w:color w:val="2B4C9B"/>
        </w:rPr>
        <w:t>Market for Registrant’s Common Equity, Related Stockholder Matters and Issuer Purchase of Equity Securities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common stock is listed on the New York Stock Exchange under the ticker symbol “SAIC”. As of March 8, 2019, there were approximately 25,000 holders of record of our common stock. The number of holders of record of our common stock may not be representative of the number of beneficial owners due to shares that may be held by depositories, brokers or nominees.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Stock Performance Graph</w:t>
      </w:r>
    </w:p>
    <w:p>
      <w:pPr>
        <w:spacing w:after="0" w:line="20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following graph compares the total cumulative return on our common stock, from the beginning of fiscal year 2015 through fiscal year 2019, to three indices: (i) the Standard &amp; Poor’s (S&amp;P) MIDCAP 400 Index, (ii) the Russell 1000 Index and (iii) the Dow Jones US Computer Services Index. The graph assumes an initial investment of $ 100 on January 31, 2014 and that dividends have been reinvested. The comparisons in the graph are required by the U.S. Securities and Exchange Commission (SEC), based upon historical data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105410</wp:posOffset>
            </wp:positionV>
            <wp:extent cx="5848985" cy="4570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18</w:t>
      </w:r>
    </w:p>
    <w:p>
      <w:pPr>
        <w:sectPr>
          <w:pgSz w:w="11900" w:h="16838" w:orient="portrait"/>
          <w:cols w:equalWidth="0" w:num="1">
            <w:col w:w="11360"/>
          </w:cols>
          <w:pgMar w:left="240" w:top="141" w:right="299" w:bottom="1440" w:gutter="0" w:footer="0" w:header="0"/>
        </w:sectPr>
      </w:pPr>
    </w:p>
    <w:bookmarkStart w:id="20" w:name="page21"/>
    <w:bookmarkEnd w:id="2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Purchases of Equity Securities</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our common stock during the three months ended February 1,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Total Number of</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Maximum Number of</w:t>
            </w:r>
          </w:p>
        </w:tc>
      </w:t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Shares (or Units)</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Shares (or Units) that</w:t>
            </w:r>
          </w:p>
        </w:tc>
      </w:t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jc w:val="right"/>
              <w:ind w:right="58"/>
              <w:spacing w:after="0"/>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Purchased as Part of</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May Yet Be</w:t>
            </w:r>
          </w:p>
        </w:tc>
      </w:tr>
      <w:tr>
        <w:trPr>
          <w:trHeight w:val="157"/>
        </w:trPr>
        <w:tc>
          <w:tcPr>
            <w:tcW w:w="15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180" w:type="dxa"/>
            <w:vAlign w:val="bottom"/>
          </w:tcPr>
          <w:p>
            <w:pPr>
              <w:jc w:val="right"/>
              <w:ind w:right="58"/>
              <w:spacing w:after="0" w:line="157" w:lineRule="exact"/>
              <w:rPr>
                <w:sz w:val="20"/>
                <w:szCs w:val="20"/>
                <w:color w:val="auto"/>
              </w:rPr>
            </w:pPr>
            <w:r>
              <w:rPr>
                <w:rFonts w:ascii="Arial" w:cs="Arial" w:eastAsia="Arial" w:hAnsi="Arial"/>
                <w:sz w:val="14"/>
                <w:szCs w:val="14"/>
                <w:color w:val="auto"/>
              </w:rPr>
              <w:t>Shares (or Units)</w:t>
            </w:r>
          </w:p>
        </w:tc>
        <w:tc>
          <w:tcPr>
            <w:tcW w:w="300" w:type="dxa"/>
            <w:vAlign w:val="bottom"/>
          </w:tcPr>
          <w:p>
            <w:pPr>
              <w:spacing w:after="0"/>
              <w:rPr>
                <w:sz w:val="13"/>
                <w:szCs w:val="13"/>
                <w:color w:val="auto"/>
              </w:rPr>
            </w:pPr>
          </w:p>
        </w:tc>
        <w:tc>
          <w:tcPr>
            <w:tcW w:w="1480" w:type="dxa"/>
            <w:vAlign w:val="bottom"/>
          </w:tcPr>
          <w:p>
            <w:pPr>
              <w:jc w:val="right"/>
              <w:ind w:right="96"/>
              <w:spacing w:after="0" w:line="157" w:lineRule="exact"/>
              <w:rPr>
                <w:sz w:val="20"/>
                <w:szCs w:val="20"/>
                <w:color w:val="auto"/>
              </w:rPr>
            </w:pPr>
            <w:r>
              <w:rPr>
                <w:rFonts w:ascii="Arial" w:cs="Arial" w:eastAsia="Arial" w:hAnsi="Arial"/>
                <w:sz w:val="14"/>
                <w:szCs w:val="14"/>
                <w:color w:val="auto"/>
              </w:rPr>
              <w:t>Average Price Paid</w:t>
            </w:r>
          </w:p>
        </w:tc>
        <w:tc>
          <w:tcPr>
            <w:tcW w:w="1680" w:type="dxa"/>
            <w:vAlign w:val="bottom"/>
          </w:tcPr>
          <w:p>
            <w:pPr>
              <w:jc w:val="right"/>
              <w:ind w:right="80"/>
              <w:spacing w:after="0" w:line="157" w:lineRule="exact"/>
              <w:rPr>
                <w:sz w:val="20"/>
                <w:szCs w:val="20"/>
                <w:color w:val="auto"/>
              </w:rPr>
            </w:pPr>
            <w:r>
              <w:rPr>
                <w:rFonts w:ascii="Arial" w:cs="Arial" w:eastAsia="Arial" w:hAnsi="Arial"/>
                <w:sz w:val="14"/>
                <w:szCs w:val="14"/>
                <w:color w:val="auto"/>
              </w:rPr>
              <w:t>Publicly Announced</w:t>
            </w:r>
          </w:p>
        </w:tc>
        <w:tc>
          <w:tcPr>
            <w:tcW w:w="1640" w:type="dxa"/>
            <w:vAlign w:val="bottom"/>
          </w:tcPr>
          <w:p>
            <w:pPr>
              <w:jc w:val="right"/>
              <w:ind w:right="41"/>
              <w:spacing w:after="0" w:line="157" w:lineRule="exact"/>
              <w:rPr>
                <w:sz w:val="20"/>
                <w:szCs w:val="20"/>
                <w:color w:val="auto"/>
              </w:rPr>
            </w:pPr>
            <w:r>
              <w:rPr>
                <w:rFonts w:ascii="Arial" w:cs="Arial" w:eastAsia="Arial" w:hAnsi="Arial"/>
                <w:sz w:val="14"/>
                <w:szCs w:val="14"/>
                <w:color w:val="auto"/>
              </w:rPr>
              <w:t>Purchased Under the</w:t>
            </w:r>
          </w:p>
        </w:tc>
      </w:tr>
      <w:tr>
        <w:trPr>
          <w:trHeight w:val="189"/>
        </w:trPr>
        <w:tc>
          <w:tcPr>
            <w:tcW w:w="1540" w:type="dxa"/>
            <w:vAlign w:val="bottom"/>
            <w:tcBorders>
              <w:bottom w:val="single" w:sz="8" w:color="2B4C9B"/>
            </w:tcBorders>
          </w:tcPr>
          <w:p>
            <w:pPr>
              <w:ind w:left="40"/>
              <w:spacing w:after="0" w:line="189" w:lineRule="exact"/>
              <w:rPr>
                <w:sz w:val="20"/>
                <w:szCs w:val="20"/>
                <w:color w:val="auto"/>
              </w:rPr>
            </w:pPr>
            <w:r>
              <w:rPr>
                <w:rFonts w:ascii="Arial" w:cs="Arial" w:eastAsia="Arial" w:hAnsi="Arial"/>
                <w:sz w:val="14"/>
                <w:szCs w:val="14"/>
                <w:color w:val="auto"/>
              </w:rPr>
              <w:t>Period</w:t>
            </w:r>
            <w:r>
              <w:rPr>
                <w:rFonts w:ascii="Arial" w:cs="Arial" w:eastAsia="Arial" w:hAnsi="Arial"/>
                <w:sz w:val="17"/>
                <w:szCs w:val="17"/>
                <w:color w:val="auto"/>
                <w:vertAlign w:val="superscript"/>
              </w:rPr>
              <w:t>(1)</w:t>
            </w:r>
          </w:p>
        </w:tc>
        <w:tc>
          <w:tcPr>
            <w:tcW w:w="2580" w:type="dxa"/>
            <w:vAlign w:val="bottom"/>
            <w:tcBorders>
              <w:bottom w:val="single" w:sz="8" w:color="2B4C9B"/>
            </w:tcBorders>
          </w:tcPr>
          <w:p>
            <w:pPr>
              <w:spacing w:after="0"/>
              <w:rPr>
                <w:sz w:val="16"/>
                <w:szCs w:val="16"/>
                <w:color w:val="auto"/>
              </w:rPr>
            </w:pPr>
          </w:p>
        </w:tc>
        <w:tc>
          <w:tcPr>
            <w:tcW w:w="2180" w:type="dxa"/>
            <w:vAlign w:val="bottom"/>
            <w:tcBorders>
              <w:bottom w:val="single" w:sz="8" w:color="2B4C9B"/>
            </w:tcBorders>
          </w:tcPr>
          <w:p>
            <w:pPr>
              <w:jc w:val="right"/>
              <w:ind w:right="58"/>
              <w:spacing w:after="0" w:line="189" w:lineRule="exact"/>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(2)</w:t>
            </w:r>
          </w:p>
        </w:tc>
        <w:tc>
          <w:tcPr>
            <w:tcW w:w="300" w:type="dxa"/>
            <w:vAlign w:val="bottom"/>
            <w:tcBorders>
              <w:bottom w:val="single" w:sz="8" w:color="2B4C9B"/>
            </w:tcBorders>
          </w:tcPr>
          <w:p>
            <w:pPr>
              <w:spacing w:after="0"/>
              <w:rPr>
                <w:sz w:val="16"/>
                <w:szCs w:val="16"/>
                <w:color w:val="auto"/>
              </w:rPr>
            </w:pPr>
          </w:p>
        </w:tc>
        <w:tc>
          <w:tcPr>
            <w:tcW w:w="1480" w:type="dxa"/>
            <w:vAlign w:val="bottom"/>
            <w:tcBorders>
              <w:bottom w:val="single" w:sz="8" w:color="2B4C9B"/>
            </w:tcBorders>
          </w:tcPr>
          <w:p>
            <w:pPr>
              <w:jc w:val="right"/>
              <w:ind w:right="96"/>
              <w:spacing w:after="0"/>
              <w:rPr>
                <w:sz w:val="20"/>
                <w:szCs w:val="20"/>
                <w:color w:val="auto"/>
              </w:rPr>
            </w:pPr>
            <w:r>
              <w:rPr>
                <w:rFonts w:ascii="Arial" w:cs="Arial" w:eastAsia="Arial" w:hAnsi="Arial"/>
                <w:sz w:val="14"/>
                <w:szCs w:val="14"/>
                <w:color w:val="auto"/>
              </w:rPr>
              <w:t>per Share (or Unit)</w:t>
            </w:r>
          </w:p>
        </w:tc>
        <w:tc>
          <w:tcPr>
            <w:tcW w:w="1680" w:type="dxa"/>
            <w:vAlign w:val="bottom"/>
            <w:tcBorders>
              <w:bottom w:val="single" w:sz="8" w:color="2B4C9B"/>
            </w:tcBorders>
          </w:tcPr>
          <w:p>
            <w:pPr>
              <w:jc w:val="right"/>
              <w:ind w:right="80"/>
              <w:spacing w:after="0"/>
              <w:rPr>
                <w:sz w:val="20"/>
                <w:szCs w:val="20"/>
                <w:color w:val="auto"/>
              </w:rPr>
            </w:pPr>
            <w:r>
              <w:rPr>
                <w:rFonts w:ascii="Arial" w:cs="Arial" w:eastAsia="Arial" w:hAnsi="Arial"/>
                <w:sz w:val="14"/>
                <w:szCs w:val="14"/>
                <w:color w:val="auto"/>
              </w:rPr>
              <w:t>Plans or Programs</w:t>
            </w:r>
          </w:p>
        </w:tc>
        <w:tc>
          <w:tcPr>
            <w:tcW w:w="1640" w:type="dxa"/>
            <w:vAlign w:val="bottom"/>
            <w:tcBorders>
              <w:bottom w:val="single" w:sz="8" w:color="2B4C9B"/>
            </w:tcBorders>
          </w:tcPr>
          <w:p>
            <w:pPr>
              <w:jc w:val="right"/>
              <w:ind w:right="41"/>
              <w:spacing w:after="0" w:line="189" w:lineRule="exact"/>
              <w:rPr>
                <w:sz w:val="20"/>
                <w:szCs w:val="20"/>
                <w:color w:val="auto"/>
              </w:rPr>
            </w:pPr>
            <w:r>
              <w:rPr>
                <w:rFonts w:ascii="Arial" w:cs="Arial" w:eastAsia="Arial" w:hAnsi="Arial"/>
                <w:sz w:val="14"/>
                <w:szCs w:val="14"/>
                <w:color w:val="auto"/>
              </w:rPr>
              <w:t>Plans or Programs</w:t>
            </w:r>
            <w:r>
              <w:rPr>
                <w:rFonts w:ascii="Arial" w:cs="Arial" w:eastAsia="Arial" w:hAnsi="Arial"/>
                <w:sz w:val="17"/>
                <w:szCs w:val="17"/>
                <w:color w:val="auto"/>
                <w:vertAlign w:val="superscript"/>
              </w:rPr>
              <w:t>(3)</w:t>
            </w:r>
          </w:p>
        </w:tc>
      </w:tr>
      <w:tr>
        <w:trPr>
          <w:trHeight w:val="264"/>
        </w:trPr>
        <w:tc>
          <w:tcPr>
            <w:tcW w:w="15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November 3, 2018</w:t>
            </w:r>
          </w:p>
        </w:tc>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December 7, 2018</w:t>
            </w:r>
          </w:p>
        </w:tc>
        <w:tc>
          <w:tcPr>
            <w:tcW w:w="21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69.79</w:t>
            </w: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2,317,844</w:t>
            </w:r>
          </w:p>
        </w:tc>
      </w:tr>
      <w:tr>
        <w:trPr>
          <w:trHeight w:val="263"/>
        </w:trPr>
        <w:tc>
          <w:tcPr>
            <w:tcW w:w="1540" w:type="dxa"/>
            <w:vAlign w:val="bottom"/>
          </w:tcPr>
          <w:p>
            <w:pPr>
              <w:ind w:left="40"/>
              <w:spacing w:after="0"/>
              <w:rPr>
                <w:sz w:val="20"/>
                <w:szCs w:val="20"/>
                <w:color w:val="auto"/>
              </w:rPr>
            </w:pPr>
            <w:r>
              <w:rPr>
                <w:rFonts w:ascii="Arial" w:cs="Arial" w:eastAsia="Arial" w:hAnsi="Arial"/>
                <w:sz w:val="18"/>
                <w:szCs w:val="18"/>
                <w:color w:val="auto"/>
                <w:w w:val="99"/>
              </w:rPr>
              <w:t>December 8, 2018</w:t>
            </w:r>
          </w:p>
        </w:tc>
        <w:tc>
          <w:tcPr>
            <w:tcW w:w="2580" w:type="dxa"/>
            <w:vAlign w:val="bottom"/>
          </w:tcPr>
          <w:p>
            <w:pPr>
              <w:ind w:left="20"/>
              <w:spacing w:after="0"/>
              <w:rPr>
                <w:sz w:val="20"/>
                <w:szCs w:val="20"/>
                <w:color w:val="auto"/>
              </w:rPr>
            </w:pPr>
            <w:r>
              <w:rPr>
                <w:rFonts w:ascii="Arial" w:cs="Arial" w:eastAsia="Arial" w:hAnsi="Arial"/>
                <w:sz w:val="18"/>
                <w:szCs w:val="18"/>
                <w:color w:val="auto"/>
              </w:rPr>
              <w:t>- January 4, 2019</w:t>
            </w:r>
          </w:p>
        </w:tc>
        <w:tc>
          <w:tcPr>
            <w:tcW w:w="21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1"/>
              <w:spacing w:after="0"/>
              <w:rPr>
                <w:sz w:val="20"/>
                <w:szCs w:val="20"/>
                <w:color w:val="auto"/>
              </w:rPr>
            </w:pPr>
            <w:r>
              <w:rPr>
                <w:rFonts w:ascii="Arial" w:cs="Arial" w:eastAsia="Arial" w:hAnsi="Arial"/>
                <w:sz w:val="18"/>
                <w:szCs w:val="18"/>
                <w:color w:val="auto"/>
              </w:rPr>
              <w:t>2,317,844</w:t>
            </w:r>
          </w:p>
        </w:tc>
      </w:tr>
      <w:tr>
        <w:trPr>
          <w:trHeight w:val="270"/>
        </w:trPr>
        <w:tc>
          <w:tcPr>
            <w:tcW w:w="4120" w:type="dxa"/>
            <w:vAlign w:val="bottom"/>
            <w:tcBorders>
              <w:bottom w:val="single" w:sz="8" w:color="2B4C9B"/>
            </w:tcBorders>
            <w:gridSpan w:val="2"/>
            <w:shd w:val="clear" w:color="auto" w:fill="CFF0FC"/>
          </w:tcPr>
          <w:p>
            <w:pPr>
              <w:ind w:left="40"/>
              <w:spacing w:after="0"/>
              <w:rPr>
                <w:sz w:val="20"/>
                <w:szCs w:val="20"/>
                <w:color w:val="auto"/>
              </w:rPr>
            </w:pPr>
            <w:r>
              <w:rPr>
                <w:rFonts w:ascii="Arial" w:cs="Arial" w:eastAsia="Arial" w:hAnsi="Arial"/>
                <w:sz w:val="18"/>
                <w:szCs w:val="18"/>
                <w:color w:val="auto"/>
              </w:rPr>
              <w:t>January 5, 2019 - February 1, 2019</w:t>
            </w:r>
          </w:p>
        </w:tc>
        <w:tc>
          <w:tcPr>
            <w:tcW w:w="218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120,445</w:t>
            </w:r>
          </w:p>
        </w:tc>
        <w:tc>
          <w:tcPr>
            <w:tcW w:w="300" w:type="dxa"/>
            <w:vAlign w:val="bottom"/>
            <w:tcBorders>
              <w:bottom w:val="single" w:sz="8" w:color="2B4C9B"/>
            </w:tcBorders>
            <w:shd w:val="clear" w:color="auto" w:fill="CFF0FC"/>
          </w:tcPr>
          <w:p>
            <w:pPr>
              <w:spacing w:after="0"/>
              <w:rPr>
                <w:sz w:val="23"/>
                <w:szCs w:val="23"/>
                <w:color w:val="auto"/>
              </w:rPr>
            </w:pPr>
          </w:p>
        </w:tc>
        <w:tc>
          <w:tcPr>
            <w:tcW w:w="1480" w:type="dxa"/>
            <w:vAlign w:val="bottom"/>
            <w:tcBorders>
              <w:bottom w:val="single" w:sz="8" w:color="2B4C9B"/>
            </w:tcBorders>
            <w:shd w:val="clear" w:color="auto" w:fill="CFF0FC"/>
          </w:tcPr>
          <w:p>
            <w:pPr>
              <w:jc w:val="right"/>
              <w:ind w:right="96"/>
              <w:spacing w:after="0"/>
              <w:rPr>
                <w:sz w:val="20"/>
                <w:szCs w:val="20"/>
                <w:color w:val="auto"/>
              </w:rPr>
            </w:pPr>
            <w:r>
              <w:rPr>
                <w:rFonts w:ascii="Arial" w:cs="Arial" w:eastAsia="Arial" w:hAnsi="Arial"/>
                <w:sz w:val="18"/>
                <w:szCs w:val="18"/>
                <w:color w:val="auto"/>
              </w:rPr>
              <w:t>65.92</w:t>
            </w:r>
          </w:p>
        </w:tc>
        <w:tc>
          <w:tcPr>
            <w:tcW w:w="168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8"/>
                <w:szCs w:val="18"/>
                <w:color w:val="auto"/>
              </w:rPr>
              <w:t>119,234</w:t>
            </w:r>
          </w:p>
        </w:tc>
        <w:tc>
          <w:tcPr>
            <w:tcW w:w="1640" w:type="dxa"/>
            <w:vAlign w:val="bottom"/>
            <w:tcBorders>
              <w:bottom w:val="single" w:sz="8" w:color="2B4C9B"/>
            </w:tcBorders>
            <w:shd w:val="clear" w:color="auto" w:fill="CFF0FC"/>
          </w:tcPr>
          <w:p>
            <w:pPr>
              <w:jc w:val="right"/>
              <w:ind w:right="41"/>
              <w:spacing w:after="0"/>
              <w:rPr>
                <w:sz w:val="20"/>
                <w:szCs w:val="20"/>
                <w:color w:val="auto"/>
              </w:rPr>
            </w:pPr>
            <w:r>
              <w:rPr>
                <w:rFonts w:ascii="Arial" w:cs="Arial" w:eastAsia="Arial" w:hAnsi="Arial"/>
                <w:sz w:val="18"/>
                <w:szCs w:val="18"/>
                <w:color w:val="auto"/>
              </w:rPr>
              <w:t>2,198,610</w:t>
            </w:r>
          </w:p>
        </w:tc>
      </w:tr>
      <w:tr>
        <w:trPr>
          <w:trHeight w:val="277"/>
        </w:trPr>
        <w:tc>
          <w:tcPr>
            <w:tcW w:w="1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2B4C9B"/>
            </w:tcBorders>
          </w:tcPr>
          <w:p>
            <w:pPr>
              <w:spacing w:after="0"/>
              <w:rPr>
                <w:sz w:val="24"/>
                <w:szCs w:val="24"/>
                <w:color w:val="auto"/>
              </w:rPr>
            </w:pPr>
          </w:p>
        </w:tc>
        <w:tc>
          <w:tcPr>
            <w:tcW w:w="2180" w:type="dxa"/>
            <w:vAlign w:val="bottom"/>
            <w:tcBorders>
              <w:bottom w:val="single" w:sz="8" w:color="2B4C9B"/>
            </w:tcBorders>
          </w:tcPr>
          <w:p>
            <w:pPr>
              <w:jc w:val="right"/>
              <w:ind w:right="58"/>
              <w:spacing w:after="0"/>
              <w:rPr>
                <w:sz w:val="20"/>
                <w:szCs w:val="20"/>
                <w:color w:val="auto"/>
              </w:rPr>
            </w:pPr>
            <w:r>
              <w:rPr>
                <w:rFonts w:ascii="Arial" w:cs="Arial" w:eastAsia="Arial" w:hAnsi="Arial"/>
                <w:sz w:val="18"/>
                <w:szCs w:val="18"/>
                <w:color w:val="auto"/>
              </w:rPr>
              <w:t>120,734</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2B4C9B"/>
            </w:tcBorders>
          </w:tcPr>
          <w:p>
            <w:pPr>
              <w:jc w:val="right"/>
              <w:ind w:right="96"/>
              <w:spacing w:after="0"/>
              <w:rPr>
                <w:sz w:val="20"/>
                <w:szCs w:val="20"/>
                <w:color w:val="auto"/>
              </w:rPr>
            </w:pPr>
            <w:r>
              <w:rPr>
                <w:rFonts w:ascii="Arial" w:cs="Arial" w:eastAsia="Arial" w:hAnsi="Arial"/>
                <w:sz w:val="18"/>
                <w:szCs w:val="18"/>
                <w:color w:val="auto"/>
              </w:rPr>
              <w:t>65.93</w:t>
            </w:r>
          </w:p>
        </w:tc>
        <w:tc>
          <w:tcPr>
            <w:tcW w:w="1680" w:type="dxa"/>
            <w:vAlign w:val="bottom"/>
            <w:tcBorders>
              <w:bottom w:val="single" w:sz="8" w:color="2B4C9B"/>
            </w:tcBorders>
          </w:tcPr>
          <w:p>
            <w:pPr>
              <w:jc w:val="right"/>
              <w:ind w:right="80"/>
              <w:spacing w:after="0"/>
              <w:rPr>
                <w:sz w:val="20"/>
                <w:szCs w:val="20"/>
                <w:color w:val="auto"/>
              </w:rPr>
            </w:pPr>
            <w:r>
              <w:rPr>
                <w:rFonts w:ascii="Arial" w:cs="Arial" w:eastAsia="Arial" w:hAnsi="Arial"/>
                <w:sz w:val="18"/>
                <w:szCs w:val="18"/>
                <w:color w:val="auto"/>
              </w:rPr>
              <w:t>119,234</w:t>
            </w:r>
          </w:p>
        </w:tc>
        <w:tc>
          <w:tcPr>
            <w:tcW w:w="1640" w:type="dxa"/>
            <w:vAlign w:val="bottom"/>
            <w:tcBorders>
              <w:bottom w:val="single" w:sz="8" w:color="2B4C9B"/>
            </w:tcBorders>
          </w:tcPr>
          <w:p>
            <w:pPr>
              <w:spacing w:after="0"/>
              <w:rPr>
                <w:sz w:val="24"/>
                <w:szCs w:val="24"/>
                <w:color w:val="auto"/>
              </w:rPr>
            </w:pPr>
          </w:p>
        </w:tc>
      </w:tr>
    </w:tbl>
    <w:p>
      <w:pPr>
        <w:spacing w:after="0" w:line="110" w:lineRule="exact"/>
        <w:rPr>
          <w:sz w:val="20"/>
          <w:szCs w:val="20"/>
          <w:color w:val="auto"/>
        </w:rPr>
      </w:pPr>
    </w:p>
    <w:p>
      <w:pPr>
        <w:ind w:left="500" w:right="480" w:hanging="492"/>
        <w:spacing w:after="0" w:line="24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Date ranges represent our fiscal periods during the current quarter. Our fiscal quarters typically consist of one five-week period and two four-week periods.</w:t>
      </w:r>
    </w:p>
    <w:p>
      <w:pPr>
        <w:ind w:left="500" w:right="120" w:hanging="492"/>
        <w:spacing w:after="0" w:line="24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purchased on surrender by stockholders of previously owned shares to satisfy minimum statutory tax withholding obligations related to stock option exercises and vesting of stock awards in addition to shares purchased under our publicly announced plans or programs.</w:t>
      </w:r>
    </w:p>
    <w:p>
      <w:pPr>
        <w:ind w:left="500" w:right="20" w:hanging="492"/>
        <w:spacing w:after="0" w:line="250"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December 15, 2016, the number of additional shares of our common stock that may be repurchased under our existing repurchase program previously announced in October 2013 was increased by approximately 3.3 million shares, bringing the total authorized shares to be repurchased under the program to approximately 11.8 million shares. As of February 1, 2019, we have repurchased approximately 9.6 million shares of common stock under the program. Subsequent to the end of fiscal 2019, the number of shares that may be repurchased increased by approximately 4.6 million shares, bringing the total authorized shares to be repurchased under the plan to approximately 16.4 million shares.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19</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6. </w:t>
      </w:r>
      <w:r>
        <w:rPr>
          <w:rFonts w:ascii="Arial" w:cs="Arial" w:eastAsia="Arial" w:hAnsi="Arial"/>
          <w:sz w:val="18"/>
          <w:szCs w:val="18"/>
          <w:b w:val="1"/>
          <w:bCs w:val="1"/>
          <w:i w:val="1"/>
          <w:iCs w:val="1"/>
          <w:color w:val="2B4C9B"/>
        </w:rPr>
        <w:t>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On January 14, 2019 we acquired Engility Holdings, Inc. (Engility) and on May 4, 2015, we acquired privately held Scitor Holdings, Inc. (Scitor).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income data includes the results of operations subsequent to each acquisition.</w:t>
      </w:r>
    </w:p>
    <w:p>
      <w:pPr>
        <w:spacing w:after="0" w:line="18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and our consolidated financial statements and the notes thereto contained within this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176"/>
              <w:spacing w:after="0"/>
              <w:rPr>
                <w:sz w:val="20"/>
                <w:szCs w:val="20"/>
                <w:color w:val="auto"/>
              </w:rPr>
            </w:pPr>
            <w:r>
              <w:rPr>
                <w:rFonts w:ascii="Arial" w:cs="Arial" w:eastAsia="Arial" w:hAnsi="Arial"/>
                <w:sz w:val="14"/>
                <w:szCs w:val="14"/>
                <w:color w:val="auto"/>
              </w:rPr>
              <w:t>Year Ended</w:t>
            </w: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2B4C9B"/>
              </w:rPr>
              <w:t>February 1,</w:t>
            </w:r>
          </w:p>
        </w:tc>
        <w:tc>
          <w:tcPr>
            <w:tcW w:w="34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February 2,</w:t>
            </w:r>
          </w:p>
        </w:tc>
        <w:tc>
          <w:tcPr>
            <w:tcW w:w="300" w:type="dxa"/>
            <w:vAlign w:val="bottom"/>
          </w:tcPr>
          <w:p>
            <w:pPr>
              <w:spacing w:after="0"/>
              <w:rPr>
                <w:sz w:val="15"/>
                <w:szCs w:val="15"/>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February 3,</w:t>
            </w:r>
          </w:p>
        </w:tc>
        <w:tc>
          <w:tcPr>
            <w:tcW w:w="34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January 29,</w:t>
            </w:r>
          </w:p>
        </w:tc>
        <w:tc>
          <w:tcPr>
            <w:tcW w:w="34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202"/>
        </w:trPr>
        <w:tc>
          <w:tcPr>
            <w:tcW w:w="80" w:type="dxa"/>
            <w:vAlign w:val="bottom"/>
            <w:tcBorders>
              <w:bottom w:val="single" w:sz="8" w:color="2B4C9B"/>
            </w:tcBorders>
          </w:tcPr>
          <w:p>
            <w:pPr>
              <w:spacing w:after="0"/>
              <w:rPr>
                <w:sz w:val="17"/>
                <w:szCs w:val="17"/>
                <w:color w:val="auto"/>
              </w:rPr>
            </w:pPr>
          </w:p>
        </w:tc>
        <w:tc>
          <w:tcPr>
            <w:tcW w:w="4600" w:type="dxa"/>
            <w:vAlign w:val="bottom"/>
            <w:tcBorders>
              <w:bottom w:val="single" w:sz="8" w:color="2B4C9B"/>
            </w:tcBorders>
          </w:tcPr>
          <w:p>
            <w:pPr>
              <w:spacing w:after="0"/>
              <w:rPr>
                <w:sz w:val="17"/>
                <w:szCs w:val="17"/>
                <w:color w:val="auto"/>
              </w:rPr>
            </w:pPr>
          </w:p>
        </w:tc>
        <w:tc>
          <w:tcPr>
            <w:tcW w:w="2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2019</w:t>
            </w:r>
            <w:r>
              <w:rPr>
                <w:rFonts w:ascii="Arial" w:cs="Arial" w:eastAsia="Arial" w:hAnsi="Arial"/>
                <w:sz w:val="17"/>
                <w:szCs w:val="17"/>
                <w:b w:val="1"/>
                <w:bCs w:val="1"/>
                <w:color w:val="2B4C9B"/>
                <w:vertAlign w:val="superscript"/>
              </w:rPr>
              <w:t>(2)</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40" w:type="dxa"/>
            <w:vAlign w:val="bottom"/>
            <w:gridSpan w:val="5"/>
          </w:tcPr>
          <w:p>
            <w:pPr>
              <w:jc w:val="right"/>
              <w:ind w:right="796"/>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ind w:left="40"/>
              <w:spacing w:after="0"/>
              <w:rPr>
                <w:sz w:val="20"/>
                <w:szCs w:val="20"/>
                <w:color w:val="auto"/>
              </w:rPr>
            </w:pPr>
            <w:r>
              <w:rPr>
                <w:rFonts w:ascii="Arial" w:cs="Arial" w:eastAsia="Arial" w:hAnsi="Arial"/>
                <w:sz w:val="18"/>
                <w:szCs w:val="18"/>
                <w:b w:val="1"/>
                <w:bCs w:val="1"/>
                <w:color w:val="2B4C9B"/>
              </w:rPr>
              <w:t>Consolidated and Combined Statement of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4600" w:type="dxa"/>
            <w:vAlign w:val="bottom"/>
          </w:tcPr>
          <w:p>
            <w:pPr>
              <w:ind w:left="280"/>
              <w:spacing w:after="0"/>
              <w:rPr>
                <w:sz w:val="20"/>
                <w:szCs w:val="20"/>
                <w:color w:val="auto"/>
              </w:rPr>
            </w:pPr>
            <w:r>
              <w:rPr>
                <w:rFonts w:ascii="Arial" w:cs="Arial" w:eastAsia="Arial" w:hAnsi="Arial"/>
                <w:sz w:val="18"/>
                <w:szCs w:val="18"/>
                <w:b w:val="1"/>
                <w:bCs w:val="1"/>
                <w:color w:val="2B4C9B"/>
              </w:rPr>
              <w:t>Data:</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4,659</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4,454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4,442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4,315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6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220</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137</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6"/>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8"/>
                <w:szCs w:val="18"/>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3.16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7"/>
        </w:trPr>
        <w:tc>
          <w:tcPr>
            <w:tcW w:w="80" w:type="dxa"/>
            <w:vAlign w:val="bottom"/>
            <w:shd w:val="clear" w:color="auto" w:fill="CFF0FC"/>
          </w:tcPr>
          <w:p>
            <w:pPr>
              <w:spacing w:after="0"/>
              <w:rPr>
                <w:sz w:val="24"/>
                <w:szCs w:val="24"/>
                <w:color w:val="auto"/>
              </w:rPr>
            </w:pPr>
          </w:p>
        </w:tc>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3.11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1.24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540"/>
        </w:trPr>
        <w:tc>
          <w:tcPr>
            <w:tcW w:w="80" w:type="dxa"/>
            <w:vAlign w:val="bottom"/>
          </w:tcPr>
          <w:p>
            <w:pPr>
              <w:spacing w:after="0"/>
              <w:rPr>
                <w:sz w:val="24"/>
                <w:szCs w:val="24"/>
                <w:color w:val="auto"/>
              </w:rPr>
            </w:pPr>
          </w:p>
        </w:tc>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2B4C9B"/>
              </w:rPr>
              <w:t>Consolidated and Combined Balance Sheet Data:</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2B4C9B"/>
              </w:rPr>
              <w:t>February 1,</w:t>
            </w:r>
          </w:p>
        </w:tc>
        <w:tc>
          <w:tcPr>
            <w:tcW w:w="34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February 2,</w:t>
            </w:r>
          </w:p>
        </w:tc>
        <w:tc>
          <w:tcPr>
            <w:tcW w:w="300" w:type="dxa"/>
            <w:vAlign w:val="bottom"/>
          </w:tcPr>
          <w:p>
            <w:pPr>
              <w:spacing w:after="0"/>
              <w:rPr>
                <w:sz w:val="24"/>
                <w:szCs w:val="2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color w:val="auto"/>
              </w:rPr>
              <w:t>February 3,</w:t>
            </w:r>
          </w:p>
        </w:tc>
        <w:tc>
          <w:tcPr>
            <w:tcW w:w="34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color w:val="auto"/>
              </w:rPr>
              <w:t>January 29,</w:t>
            </w:r>
          </w:p>
        </w:tc>
        <w:tc>
          <w:tcPr>
            <w:tcW w:w="34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600" w:type="dxa"/>
            <w:vAlign w:val="bottom"/>
            <w:tcBorders>
              <w:bottom w:val="single" w:sz="8" w:color="CFF0FC"/>
            </w:tcBorders>
            <w:vMerge w:val="continue"/>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2019</w:t>
            </w:r>
            <w:r>
              <w:rPr>
                <w:rFonts w:ascii="Arial" w:cs="Arial" w:eastAsia="Arial" w:hAnsi="Arial"/>
                <w:sz w:val="17"/>
                <w:szCs w:val="17"/>
                <w:b w:val="1"/>
                <w:bCs w:val="1"/>
                <w:color w:val="2B4C9B"/>
                <w:vertAlign w:val="superscript"/>
              </w:rPr>
              <w:t>(2)</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2B4C9B"/>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4,563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2,073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2,042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2,122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2B4C9B"/>
              </w:rPr>
              <w:t>2,089</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1,070</w:t>
            </w:r>
          </w:p>
        </w:tc>
        <w:tc>
          <w:tcPr>
            <w:tcW w:w="3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 and deferred income taxes</w:t>
            </w:r>
          </w:p>
        </w:tc>
        <w:tc>
          <w:tcPr>
            <w:tcW w:w="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102</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980" w:right="180" w:hanging="648"/>
        <w:spacing w:after="0" w:line="258"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more information on the calculation of Basic and Diluted Earnings per share see Note 2 of the notes to the consolidated financial statements contained within this report.</w:t>
      </w:r>
    </w:p>
    <w:p>
      <w:pPr>
        <w:spacing w:after="0" w:line="86" w:lineRule="exact"/>
        <w:rPr>
          <w:rFonts w:ascii="Arial" w:cs="Arial" w:eastAsia="Arial" w:hAnsi="Arial"/>
          <w:sz w:val="14"/>
          <w:szCs w:val="14"/>
          <w:color w:val="auto"/>
        </w:rPr>
      </w:pPr>
    </w:p>
    <w:p>
      <w:pPr>
        <w:jc w:val="both"/>
        <w:ind w:left="980" w:right="40" w:hanging="648"/>
        <w:spacing w:after="0" w:line="250" w:lineRule="auto"/>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adopted ASC 606 on February 3, 2018, using the modified retrospective method whereby the Company recognized the cumulative effect of adoption as an adjustment to its opening balance of retained earnings on February 3, 2018, see Note 1 of the notes to the consolidated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20</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 </w:t>
      </w:r>
      <w:r>
        <w:rPr>
          <w:rFonts w:ascii="Arial" w:cs="Arial" w:eastAsia="Arial" w:hAnsi="Arial"/>
          <w:sz w:val="18"/>
          <w:szCs w:val="18"/>
          <w:b w:val="1"/>
          <w:bCs w:val="1"/>
          <w:i w:val="1"/>
          <w:iCs w:val="1"/>
          <w:color w:val="2B4C9B"/>
        </w:rPr>
        <w:t>Management’s Discussion and Analysis of Financial Condition and Results of Operations</w:t>
      </w:r>
    </w:p>
    <w:p>
      <w:pPr>
        <w:spacing w:after="0" w:line="1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and quantitative and qualitative disclosures about market risk should be read in conjunction with our consolidated financial statements and the related notes. It contains forward-looking statements (which may be identified by words such as those described in “Risk Factors—Forward-Looking Statement Risks” in Part I of this report), including statements regarding our intent, belief, or current expectations with respect to, among other things, trends affecting our financial condition or results of operations (including our financial targets discussed below under “Management of Operating Performance and Reporting” and “Liquidity and Capital Resources”); backlog; our industry; government budgets and spending; market opportunities; the impact of competition; and the impact of the Engility and Scitor acquisitions.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and elsewhere in this report, particularly in “Risk Factors” in Part I of this report.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spacing w:after="0" w:line="15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We use the terms "SAIC," the “Company,” “we,” “us” and “our” to refer to Science Applications International Corporation and its consolidated subsidiaries. References herein to “former Parent” refer to Leidos Holdings, Inc. (formerly SAIC, Inc.) collectively with its consolidated subsidiaries.</w:t>
      </w:r>
    </w:p>
    <w:p>
      <w:pPr>
        <w:spacing w:after="0" w:line="13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Company utilizes a 52/53 week fiscal year ending on the Friday closest to January 31, with fiscal quarters typically consisting of 13 weeks. Fiscal 2017 began on January 30, 2016 and ended on February 3, 2017, fiscal 2018 began on February 4, 2017 and ended on February 2, 2018, and fiscal 2019 began on February 3, 2018 and ended on February 1, 2019. The number of weeks for each quarter for fiscal 2019, 2018 and 2017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Borders>
              <w:bottom w:val="single" w:sz="8" w:color="2B4C9B"/>
            </w:tcBorders>
          </w:tcPr>
          <w:p>
            <w:pPr>
              <w:spacing w:after="0"/>
              <w:rPr>
                <w:sz w:val="17"/>
                <w:szCs w:val="17"/>
                <w:color w:val="auto"/>
              </w:rPr>
            </w:pPr>
          </w:p>
        </w:tc>
        <w:tc>
          <w:tcPr>
            <w:tcW w:w="4140" w:type="dxa"/>
            <w:vAlign w:val="bottom"/>
            <w:tcBorders>
              <w:bottom w:val="single" w:sz="8" w:color="2B4C9B"/>
            </w:tcBorders>
          </w:tcPr>
          <w:p>
            <w:pPr>
              <w:jc w:val="right"/>
              <w:ind w:right="273"/>
              <w:spacing w:after="0"/>
              <w:rPr>
                <w:sz w:val="20"/>
                <w:szCs w:val="20"/>
                <w:color w:val="auto"/>
              </w:rPr>
            </w:pPr>
            <w:r>
              <w:rPr>
                <w:rFonts w:ascii="Arial" w:cs="Arial" w:eastAsia="Arial" w:hAnsi="Arial"/>
                <w:sz w:val="14"/>
                <w:szCs w:val="14"/>
                <w:b w:val="1"/>
                <w:bCs w:val="1"/>
                <w:color w:val="2B4C9B"/>
              </w:rPr>
              <w:t>Fiscal 2019</w:t>
            </w:r>
          </w:p>
        </w:tc>
        <w:tc>
          <w:tcPr>
            <w:tcW w:w="1680" w:type="dxa"/>
            <w:vAlign w:val="bottom"/>
            <w:tcBorders>
              <w:bottom w:val="single" w:sz="8" w:color="2B4C9B"/>
            </w:tcBorders>
          </w:tcPr>
          <w:p>
            <w:pPr>
              <w:jc w:val="right"/>
              <w:ind w:right="335"/>
              <w:spacing w:after="0"/>
              <w:rPr>
                <w:sz w:val="20"/>
                <w:szCs w:val="20"/>
                <w:color w:val="auto"/>
              </w:rPr>
            </w:pPr>
            <w:r>
              <w:rPr>
                <w:rFonts w:ascii="Arial" w:cs="Arial" w:eastAsia="Arial" w:hAnsi="Arial"/>
                <w:sz w:val="14"/>
                <w:szCs w:val="14"/>
                <w:color w:val="auto"/>
              </w:rPr>
              <w:t>Fiscal 2018</w:t>
            </w: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Fiscal 2017</w:t>
            </w:r>
          </w:p>
        </w:tc>
      </w:tr>
      <w:tr>
        <w:trPr>
          <w:trHeight w:val="264"/>
        </w:trPr>
        <w:tc>
          <w:tcPr>
            <w:tcW w:w="43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680" w:type="dxa"/>
            <w:vAlign w:val="bottom"/>
          </w:tcPr>
          <w:p>
            <w:pPr>
              <w:jc w:val="right"/>
              <w:ind w:right="735"/>
              <w:spacing w:after="0"/>
              <w:rPr>
                <w:sz w:val="20"/>
                <w:szCs w:val="20"/>
                <w:color w:val="auto"/>
              </w:rPr>
            </w:pPr>
            <w:r>
              <w:rPr>
                <w:rFonts w:ascii="Arial" w:cs="Arial" w:eastAsia="Arial" w:hAnsi="Arial"/>
                <w:sz w:val="14"/>
                <w:szCs w:val="14"/>
                <w:color w:val="auto"/>
              </w:rPr>
              <w:t>(weeks)</w:t>
            </w:r>
          </w:p>
        </w:tc>
        <w:tc>
          <w:tcPr>
            <w:tcW w:w="1260" w:type="dxa"/>
            <w:vAlign w:val="bottom"/>
          </w:tcPr>
          <w:p>
            <w:pPr>
              <w:spacing w:after="0"/>
              <w:rPr>
                <w:sz w:val="22"/>
                <w:szCs w:val="22"/>
                <w:color w:val="auto"/>
              </w:rPr>
            </w:pPr>
          </w:p>
        </w:tc>
      </w:tr>
      <w:tr>
        <w:trPr>
          <w:trHeight w:val="276"/>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4140" w:type="dxa"/>
            <w:vAlign w:val="bottom"/>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w:t>
            </w: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140" w:type="dxa"/>
            <w:vAlign w:val="bottom"/>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7"/>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4140" w:type="dxa"/>
            <w:vAlign w:val="bottom"/>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43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Fourth Quarter</w:t>
            </w:r>
          </w:p>
        </w:tc>
        <w:tc>
          <w:tcPr>
            <w:tcW w:w="4140" w:type="dxa"/>
            <w:vAlign w:val="bottom"/>
            <w:tcBorders>
              <w:bottom w:val="single" w:sz="8" w:color="2B4C9B"/>
            </w:tcBorders>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tcBorders>
              <w:bottom w:val="single" w:sz="8" w:color="2B4C9B"/>
            </w:tcBorders>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13</w:t>
            </w:r>
          </w:p>
        </w:tc>
      </w:tr>
      <w:tr>
        <w:trPr>
          <w:trHeight w:val="277"/>
        </w:trPr>
        <w:tc>
          <w:tcPr>
            <w:tcW w:w="43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Fiscal Year</w:t>
            </w:r>
          </w:p>
        </w:tc>
        <w:tc>
          <w:tcPr>
            <w:tcW w:w="4140" w:type="dxa"/>
            <w:vAlign w:val="bottom"/>
            <w:tcBorders>
              <w:bottom w:val="single" w:sz="8" w:color="2B4C9B"/>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52</w:t>
            </w:r>
          </w:p>
        </w:tc>
        <w:tc>
          <w:tcPr>
            <w:tcW w:w="1680" w:type="dxa"/>
            <w:vAlign w:val="bottom"/>
            <w:tcBorders>
              <w:bottom w:val="single" w:sz="8" w:color="2B4C9B"/>
            </w:tcBorders>
            <w:shd w:val="clear" w:color="auto" w:fill="CFF0FC"/>
          </w:tcPr>
          <w:p>
            <w:pPr>
              <w:jc w:val="right"/>
              <w:ind w:right="335"/>
              <w:spacing w:after="0"/>
              <w:rPr>
                <w:sz w:val="20"/>
                <w:szCs w:val="20"/>
                <w:color w:val="auto"/>
              </w:rPr>
            </w:pPr>
            <w:r>
              <w:rPr>
                <w:rFonts w:ascii="Arial" w:cs="Arial" w:eastAsia="Arial" w:hAnsi="Arial"/>
                <w:sz w:val="18"/>
                <w:szCs w:val="18"/>
                <w:color w:val="auto"/>
              </w:rPr>
              <w:t>52</w:t>
            </w:r>
          </w:p>
        </w:tc>
        <w:tc>
          <w:tcPr>
            <w:tcW w:w="126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53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Business Overview</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 leading technology integrator providing full life cycle services and solutions in the technical, engineering and enterprise information technology (IT) markets. We developed our brand by addressing our customers’ mission critical needs and solving their most complex problems for over 50 years. As one of the largest pure-play technical service providers to the U.S. government, we serve markets of significant scale and opportunity. Our primary customers are the departments and agencies of the U.S. government. We serve our customers through approximately 2,200 active contracts and task orders and employ more than 23,000 individuals who are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by or owned by entities located in the United States.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Economic Opportunities, Challenges and Risks</w:t>
      </w:r>
    </w:p>
    <w:p>
      <w:pPr>
        <w:spacing w:after="0" w:line="20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In fiscal 2019, we generated greater than 95%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 Appropriations measures passed in September 2018 and February 2019, combined, provide full funding for the federal government through the end of government fiscal year (GFY) 2019. These bills are funded at increased levels for defense and non-defense spending based on a bi-partisan agreement reached in February 2018 to lift caps set by the Budget Control Act in August 2011, providing additional business opportunities for the Company. However, beyond GFY 2019, there remains uncertainty on whether, and by how much, discretionary spending will be increased above the budget caps put in place in the Budget Control Act. Without additional action in the form of another bi-partisan budget agreement to lift the Budget Control Act caps, federal expenditures would decline sharply in GFY 2020. In addition, if there were a Continuing Resolution to begin GFY 2020, the effect of the Budget Control Act caps likely would be to reduce spending levels through sequestration from the levels set for GFY 2019 to much lower levels set in the Budget Control Act for GFY 2020.</w:t>
      </w:r>
    </w:p>
    <w:p>
      <w:pPr>
        <w:spacing w:after="0" w:line="17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Adverse changes in fiscal and economic conditions could materially affect our business. Some changes that could have an adverse impact on our business include the implementation of future spending reductions (including sequestration), government shutdowns, and issues related to required increases to the nation’s debt ceiling (under current law, the debt ceiling will be reached in March 2019).</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We expect that a majority of the business that we seek in the foreseeable future will be awarded through a competitive bidding process.</w:t>
      </w:r>
    </w:p>
    <w:p>
      <w:pPr>
        <w:spacing w:after="0" w:line="16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Despite the budget and competitive pressures impacting the industry, we believe we are well positioned to protect and expand existing customer relationships and benefit from opportunities that we have not previously pursued. Our scale, size and prime contractor leadership position are expected to help differentiate us from our competitors, especially on large contracts. We believe our long-term, trusted customer relationships and deep technical expertise provide us with the sophistication to handle highly complex mission-critical contracts. SAIC’s value proposition is found in the proven ability to serve as a trusted adviser to our customers. In doing so, we leverage our expertise and scale to help them execute their mission.</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succeed as a business based on the solutions we deliver, our past performance and our ability to compete on price. Our solutions, inspired through innovation, are based on best practices and technology transfer. Our past performance was achieved by employee dedication and customer focus. Our current cost structure, as well as our ongoing efforts to reduce costs by strategic sourcing and developing repeatable offerings, is expected to allow us to compete effectively on price in an evolving environment. Our ability to be competitive in the future will continue to be driven by our reputation of successful program execution, competitive cost structure and efficiencies in assigning the right people, at the right time, in support of our contracts.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14, 2019, we completed the acquisition of Engility Holdings, Inc. (collectively with its consolidated subsidiaries, "Engility"). The acquisition of Engility accelerates the execution of our long term strategy to be the premier technology integrator in the government services market and deliver sustained profitable growth. The acquisition of Engility strengthens the execution of our long term strategy by: (1) combining two leading government service providers with highly complementary capabilities, customers, and cultures (2) accelerating both companies long term strategies, creating sub-segment scale in strategic business areas of national interest and (3) enhance shareholder value through improved cash flow and margin profile driven by cost synergies and increased growth from greater customer access with more competitive and differentiated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our industry and regulatory environment.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Restructuring</w:t>
      </w:r>
    </w:p>
    <w:p>
      <w:pPr>
        <w:spacing w:after="0" w:line="3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fiscal 2018, the Company initiated restructuring activities (the "Restructuring") intended to improve operational efficiency, reduce costs, and better position the Company to drive future growth. Management's restructuring activities included involuntary and voluntary terminations and the consolidation of existing leased facilities. The Company completed the Restructuring in fiscal 2018 with total restructuring costs of approximately $13 million, comprised of $6 million for employee severance and $7 million of lease exit costs. Refer to "Results of Operations" below, and "Restructuring" in Note 1 of the notes to the consolidated financial statements for further details.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 of Operating Performance and Reporting</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manage our business to achieve our long-term financial targets, which we expect to accomplish on average and over time. These financial targets include:</w:t>
      </w:r>
    </w:p>
    <w:p>
      <w:pPr>
        <w:spacing w:after="0" w:line="156" w:lineRule="exact"/>
        <w:rPr>
          <w:sz w:val="20"/>
          <w:szCs w:val="20"/>
          <w:color w:val="auto"/>
        </w:rPr>
      </w:pPr>
    </w:p>
    <w:p>
      <w:pPr>
        <w:ind w:left="1060" w:hanging="56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single digit annual revenue growth percentage, excluding impacts from acquisitions,</w:t>
      </w:r>
    </w:p>
    <w:p>
      <w:pPr>
        <w:spacing w:after="0" w:line="184" w:lineRule="exact"/>
        <w:rPr>
          <w:rFonts w:ascii="Arial" w:cs="Arial" w:eastAsia="Arial" w:hAnsi="Arial"/>
          <w:sz w:val="18"/>
          <w:szCs w:val="18"/>
          <w:color w:val="auto"/>
        </w:rPr>
      </w:pPr>
    </w:p>
    <w:p>
      <w:pPr>
        <w:ind w:left="1060" w:hanging="56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margin expansion of 10 to 20 basis points annually, and</w:t>
      </w:r>
    </w:p>
    <w:p>
      <w:pPr>
        <w:spacing w:after="0" w:line="184" w:lineRule="exact"/>
        <w:rPr>
          <w:rFonts w:ascii="Arial" w:cs="Arial" w:eastAsia="Arial" w:hAnsi="Arial"/>
          <w:sz w:val="18"/>
          <w:szCs w:val="18"/>
          <w:color w:val="auto"/>
        </w:rPr>
      </w:pPr>
    </w:p>
    <w:p>
      <w:pPr>
        <w:ind w:left="1060" w:hanging="56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of capital in excess of operating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a non-GAAP financial measure described in more detail in “Non-GAAP Measures” below.</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business and program management process is directed by professional managers focused on satisfying our customers by providing high quality services in achieving contract requirements. These managers carefully monitor contract margin performance by constantly evaluating contract risks and opportunities. Through each contract’s life cycle, program managers review performance and update contract performance estimates to reflect their understanding of the best information available. For performance obligations satisfied over time, updates to estimates are recognized on inception-to-date activity, during the period of adjustment, resulting in either a favorable or unfavorable impact to operating income.</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evaluate our results of operations by considering the drivers causing changes in revenues, operating income and operating cash flows. Given that revenues fluctuate on our contract portfolio over time due to contract awards and completions, changes in customer requirements, and increases or decreases in ordering volume of materials, we evaluate significant trends and fluctuations in these terms. Whether performed by our employees or by our subcontractors, we primarily provide services and, as a result, our cost of revenues are predominantly variable. We also analyze our cost mix (labor, subcontractor or materials) in order to understand operating margin because contracts performed with a higher proportion of SAIC labor are generally more profitable. Changes in costs of revenues as a percentage of revenue other than from revenue volume or cost mix are normally driven by fluctuations in shared or corporate costs, or cumulative revenue adjustments due to changes in contract estimates.</w:t>
      </w:r>
    </w:p>
    <w:p>
      <w:pPr>
        <w:spacing w:after="0" w:line="3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Changes in operating cash flows are described with regard to changes in cash generated through the delivery of services, significant drivers of fluctuations in assets or liabilities and the impacts of changes in timing of cash receipts or disbursements.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23</w:t>
      </w:r>
    </w:p>
    <w:p>
      <w:pPr>
        <w:sectPr>
          <w:pgSz w:w="11900" w:h="16838" w:orient="portrait"/>
          <w:cols w:equalWidth="0" w:num="1">
            <w:col w:w="11380"/>
          </w:cols>
          <w:pgMar w:left="240" w:top="141" w:right="279" w:bottom="1440" w:gutter="0" w:footer="0" w:header="0"/>
        </w:sectPr>
      </w:pPr>
    </w:p>
    <w:bookmarkStart w:id="25" w:name="page26"/>
    <w:bookmarkEnd w:id="2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Results of Operations</w:t>
      </w:r>
    </w:p>
    <w:p>
      <w:pPr>
        <w:spacing w:after="0" w:line="20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revenues, operating income and cash flows from operating activities. The following table summarizes our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c>
          <w:tcPr>
            <w:tcW w:w="88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ind w:right="316"/>
              <w:spacing w:after="0"/>
              <w:rPr>
                <w:sz w:val="20"/>
                <w:szCs w:val="20"/>
                <w:color w:val="auto"/>
              </w:rPr>
            </w:pPr>
            <w:r>
              <w:rPr>
                <w:rFonts w:ascii="Arial" w:cs="Arial" w:eastAsia="Arial" w:hAnsi="Arial"/>
                <w:sz w:val="14"/>
                <w:szCs w:val="14"/>
                <w:color w:val="auto"/>
              </w:rPr>
              <w:t>Year Ended</w:t>
            </w:r>
          </w:p>
        </w:tc>
        <w:tc>
          <w:tcPr>
            <w:tcW w:w="92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2B4C9B"/>
              </w:rPr>
              <w:t>February 1,</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5"/>
                <w:szCs w:val="15"/>
                <w:color w:val="auto"/>
              </w:rPr>
            </w:pPr>
          </w:p>
        </w:tc>
        <w:tc>
          <w:tcPr>
            <w:tcW w:w="1180" w:type="dxa"/>
            <w:vAlign w:val="bottom"/>
          </w:tcPr>
          <w:p>
            <w:pPr>
              <w:jc w:val="right"/>
              <w:ind w:right="216"/>
              <w:spacing w:after="0"/>
              <w:rPr>
                <w:sz w:val="20"/>
                <w:szCs w:val="20"/>
                <w:color w:val="auto"/>
              </w:rPr>
            </w:pPr>
            <w:r>
              <w:rPr>
                <w:rFonts w:ascii="Arial" w:cs="Arial" w:eastAsia="Arial" w:hAnsi="Arial"/>
                <w:sz w:val="14"/>
                <w:szCs w:val="14"/>
                <w:color w:val="auto"/>
              </w:rPr>
              <w:t>February 2,</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color w:val="auto"/>
              </w:rPr>
              <w:t>February 3,</w:t>
            </w:r>
          </w:p>
        </w:tc>
      </w:tr>
      <w:tr>
        <w:trPr>
          <w:trHeight w:val="196"/>
        </w:trPr>
        <w:tc>
          <w:tcPr>
            <w:tcW w:w="550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4"/>
                <w:szCs w:val="14"/>
                <w:b w:val="1"/>
                <w:bCs w:val="1"/>
                <w:color w:val="2B4C9B"/>
              </w:rPr>
              <w:t>2019</w:t>
            </w:r>
          </w:p>
        </w:tc>
        <w:tc>
          <w:tcPr>
            <w:tcW w:w="88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216"/>
              <w:spacing w:after="0"/>
              <w:rPr>
                <w:sz w:val="20"/>
                <w:szCs w:val="20"/>
                <w:color w:val="auto"/>
              </w:rPr>
            </w:pPr>
            <w:r>
              <w:rPr>
                <w:rFonts w:ascii="Arial" w:cs="Arial" w:eastAsia="Arial" w:hAnsi="Arial"/>
                <w:sz w:val="14"/>
                <w:szCs w:val="14"/>
                <w:color w:val="auto"/>
              </w:rPr>
              <w:t>2018</w:t>
            </w:r>
          </w:p>
        </w:tc>
        <w:tc>
          <w:tcPr>
            <w:tcW w:w="92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2017</w:t>
            </w:r>
          </w:p>
        </w:tc>
      </w:tr>
      <w:tr>
        <w:trPr>
          <w:trHeight w:val="264"/>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2"/>
          </w:tcPr>
          <w:p>
            <w:pPr>
              <w:jc w:val="right"/>
              <w:ind w:right="96"/>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4,659</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5 %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4,454</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 %</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4,442</w:t>
            </w:r>
          </w:p>
        </w:tc>
      </w:tr>
      <w:tr>
        <w:trPr>
          <w:trHeight w:val="258"/>
        </w:trPr>
        <w:tc>
          <w:tcPr>
            <w:tcW w:w="55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2"/>
                <w:szCs w:val="22"/>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b w:val="1"/>
                <w:bCs w:val="1"/>
                <w:color w:val="2B4C9B"/>
              </w:rPr>
              <w:t>4,195</w:t>
            </w: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4 %</w:t>
            </w:r>
          </w:p>
        </w:tc>
        <w:tc>
          <w:tcPr>
            <w:tcW w:w="240" w:type="dxa"/>
            <w:vAlign w:val="bottom"/>
          </w:tcPr>
          <w:p>
            <w:pPr>
              <w:spacing w:after="0"/>
              <w:rPr>
                <w:sz w:val="22"/>
                <w:szCs w:val="22"/>
                <w:color w:val="auto"/>
              </w:rPr>
            </w:pP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4,043</w:t>
            </w:r>
          </w:p>
        </w:tc>
        <w:tc>
          <w:tcPr>
            <w:tcW w:w="920" w:type="dxa"/>
            <w:vAlign w:val="bottom"/>
          </w:tcPr>
          <w:p>
            <w:pPr>
              <w:jc w:val="right"/>
              <w:ind w:right="28"/>
              <w:spacing w:after="0"/>
              <w:rPr>
                <w:sz w:val="20"/>
                <w:szCs w:val="20"/>
                <w:color w:val="auto"/>
              </w:rPr>
            </w:pPr>
            <w:r>
              <w:rPr>
                <w:rFonts w:ascii="Arial" w:cs="Arial" w:eastAsia="Arial" w:hAnsi="Arial"/>
                <w:sz w:val="14"/>
                <w:szCs w:val="14"/>
                <w:i w:val="1"/>
                <w:iCs w:val="1"/>
                <w:color w:val="auto"/>
              </w:rPr>
              <w:t>1 %</w:t>
            </w:r>
          </w:p>
        </w:tc>
        <w:tc>
          <w:tcPr>
            <w:tcW w:w="260" w:type="dxa"/>
            <w:vAlign w:val="bottom"/>
          </w:tcPr>
          <w:p>
            <w:pPr>
              <w:spacing w:after="0"/>
              <w:rPr>
                <w:sz w:val="22"/>
                <w:szCs w:val="22"/>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4,003</w:t>
            </w:r>
          </w:p>
        </w:tc>
      </w:tr>
      <w:tr>
        <w:trPr>
          <w:trHeight w:val="272"/>
        </w:trPr>
        <w:tc>
          <w:tcPr>
            <w:tcW w:w="5500" w:type="dxa"/>
            <w:vAlign w:val="bottom"/>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4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6"/>
                <w:szCs w:val="16"/>
                <w:b w:val="1"/>
                <w:bCs w:val="1"/>
                <w:i w:val="1"/>
                <w:iCs w:val="1"/>
                <w:color w:val="2B4C9B"/>
              </w:rPr>
              <w:t>90.0%</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76"/>
              <w:spacing w:after="0"/>
              <w:rPr>
                <w:sz w:val="20"/>
                <w:szCs w:val="20"/>
                <w:color w:val="auto"/>
              </w:rPr>
            </w:pPr>
            <w:r>
              <w:rPr>
                <w:rFonts w:ascii="Arial" w:cs="Arial" w:eastAsia="Arial" w:hAnsi="Arial"/>
                <w:sz w:val="16"/>
                <w:szCs w:val="16"/>
                <w:i w:val="1"/>
                <w:iCs w:val="1"/>
                <w:color w:val="auto"/>
              </w:rPr>
              <w:t>90.8%</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90.1%</w:t>
            </w:r>
          </w:p>
        </w:tc>
      </w:tr>
      <w:tr>
        <w:trPr>
          <w:trHeight w:val="280"/>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158</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2 %</w:t>
            </w:r>
          </w:p>
        </w:tc>
        <w:tc>
          <w:tcPr>
            <w:tcW w:w="2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155</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(7)%</w:t>
            </w:r>
          </w:p>
        </w:tc>
        <w:tc>
          <w:tcPr>
            <w:tcW w:w="2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166</w:t>
            </w:r>
          </w:p>
        </w:tc>
      </w:tr>
      <w:tr>
        <w:trPr>
          <w:trHeight w:val="264"/>
        </w:trPr>
        <w:tc>
          <w:tcPr>
            <w:tcW w:w="55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8"/>
                <w:szCs w:val="18"/>
                <w:b w:val="1"/>
                <w:bCs w:val="1"/>
                <w:color w:val="2B4C9B"/>
              </w:rPr>
              <w:t>86</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100 %</w:t>
            </w:r>
          </w:p>
        </w:tc>
        <w:tc>
          <w:tcPr>
            <w:tcW w:w="2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i w:val="1"/>
                <w:iCs w:val="1"/>
                <w:color w:val="auto"/>
              </w:rPr>
              <w:t>(100)%</w:t>
            </w:r>
          </w:p>
        </w:tc>
        <w:tc>
          <w:tcPr>
            <w:tcW w:w="2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10</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220</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(14)%</w:t>
            </w:r>
          </w:p>
        </w:tc>
        <w:tc>
          <w:tcPr>
            <w:tcW w:w="24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256</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(3)%</w:t>
            </w:r>
          </w:p>
        </w:tc>
        <w:tc>
          <w:tcPr>
            <w:tcW w:w="26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263</w:t>
            </w:r>
          </w:p>
        </w:tc>
      </w:tr>
      <w:tr>
        <w:trPr>
          <w:trHeight w:val="264"/>
        </w:trPr>
        <w:tc>
          <w:tcPr>
            <w:tcW w:w="5500" w:type="dxa"/>
            <w:vAlign w:val="bottom"/>
            <w:tcBorders>
              <w:bottom w:val="single" w:sz="8" w:color="2B4C9B"/>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4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5"/>
              <w:spacing w:after="0"/>
              <w:rPr>
                <w:sz w:val="20"/>
                <w:szCs w:val="20"/>
                <w:color w:val="auto"/>
              </w:rPr>
            </w:pPr>
            <w:r>
              <w:rPr>
                <w:rFonts w:ascii="Arial" w:cs="Arial" w:eastAsia="Arial" w:hAnsi="Arial"/>
                <w:sz w:val="16"/>
                <w:szCs w:val="16"/>
                <w:b w:val="1"/>
                <w:bCs w:val="1"/>
                <w:i w:val="1"/>
                <w:iCs w:val="1"/>
                <w:color w:val="2B4C9B"/>
              </w:rPr>
              <w:t>4.7%</w:t>
            </w:r>
          </w:p>
        </w:tc>
        <w:tc>
          <w:tcPr>
            <w:tcW w:w="880" w:type="dxa"/>
            <w:vAlign w:val="bottom"/>
            <w:tcBorders>
              <w:bottom w:val="single" w:sz="8" w:color="2B4C9B"/>
            </w:tcBorders>
          </w:tcPr>
          <w:p>
            <w:pPr>
              <w:spacing w:after="0"/>
              <w:rPr>
                <w:sz w:val="22"/>
                <w:szCs w:val="22"/>
                <w:color w:val="auto"/>
              </w:rPr>
            </w:pPr>
          </w:p>
        </w:tc>
        <w:tc>
          <w:tcPr>
            <w:tcW w:w="2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76"/>
              <w:spacing w:after="0"/>
              <w:rPr>
                <w:sz w:val="20"/>
                <w:szCs w:val="20"/>
                <w:color w:val="auto"/>
              </w:rPr>
            </w:pPr>
            <w:r>
              <w:rPr>
                <w:rFonts w:ascii="Arial" w:cs="Arial" w:eastAsia="Arial" w:hAnsi="Arial"/>
                <w:sz w:val="16"/>
                <w:szCs w:val="16"/>
                <w:i w:val="1"/>
                <w:iCs w:val="1"/>
                <w:color w:val="auto"/>
              </w:rPr>
              <w:t>5.7%</w:t>
            </w:r>
          </w:p>
        </w:tc>
        <w:tc>
          <w:tcPr>
            <w:tcW w:w="92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6"/>
                <w:szCs w:val="16"/>
                <w:i w:val="1"/>
                <w:iCs w:val="1"/>
                <w:color w:val="auto"/>
              </w:rPr>
              <w:t>5.9%</w:t>
            </w:r>
          </w:p>
        </w:tc>
      </w:tr>
      <w:tr>
        <w:trPr>
          <w:trHeight w:val="264"/>
        </w:trPr>
        <w:tc>
          <w:tcPr>
            <w:tcW w:w="55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8"/>
                <w:szCs w:val="18"/>
                <w:b w:val="1"/>
                <w:bCs w:val="1"/>
                <w:color w:val="2B4C9B"/>
              </w:rPr>
              <w:t>137</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(23)%</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tcPr>
          <w:p>
            <w:pPr>
              <w:jc w:val="right"/>
              <w:ind w:right="216"/>
              <w:spacing w:after="0"/>
              <w:rPr>
                <w:sz w:val="20"/>
                <w:szCs w:val="20"/>
                <w:color w:val="auto"/>
              </w:rPr>
            </w:pPr>
            <w:r>
              <w:rPr>
                <w:rFonts w:ascii="Arial" w:cs="Arial" w:eastAsia="Arial" w:hAnsi="Arial"/>
                <w:sz w:val="18"/>
                <w:szCs w:val="18"/>
                <w:color w:val="auto"/>
              </w:rPr>
              <w:t>179</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i w:val="1"/>
                <w:iCs w:val="1"/>
                <w:color w:val="auto"/>
              </w:rPr>
              <w:t>25 %</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143</w:t>
            </w:r>
          </w:p>
        </w:tc>
      </w:tr>
      <w:tr>
        <w:trPr>
          <w:trHeight w:val="264"/>
        </w:trPr>
        <w:tc>
          <w:tcPr>
            <w:tcW w:w="5500" w:type="dxa"/>
            <w:vAlign w:val="bottom"/>
            <w:tcBorders>
              <w:bottom w:val="single" w:sz="8" w:color="2B4C9B"/>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184</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(15)%</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shd w:val="clear" w:color="auto" w:fill="CFF0FC"/>
          </w:tcPr>
          <w:p>
            <w:pPr>
              <w:jc w:val="right"/>
              <w:ind w:right="216"/>
              <w:spacing w:after="0"/>
              <w:rPr>
                <w:sz w:val="20"/>
                <w:szCs w:val="20"/>
                <w:color w:val="auto"/>
              </w:rPr>
            </w:pPr>
            <w:r>
              <w:rPr>
                <w:rFonts w:ascii="Arial" w:cs="Arial" w:eastAsia="Arial" w:hAnsi="Arial"/>
                <w:sz w:val="18"/>
                <w:szCs w:val="18"/>
                <w:color w:val="auto"/>
              </w:rPr>
              <w:t>217</w:t>
            </w:r>
          </w:p>
        </w:tc>
        <w:tc>
          <w:tcPr>
            <w:tcW w:w="92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(21)%</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95"/>
              <w:spacing w:after="0"/>
              <w:rPr>
                <w:sz w:val="20"/>
                <w:szCs w:val="20"/>
                <w:color w:val="auto"/>
              </w:rPr>
            </w:pPr>
            <w:r>
              <w:rPr>
                <w:rFonts w:ascii="Arial" w:cs="Arial" w:eastAsia="Arial" w:hAnsi="Arial"/>
                <w:sz w:val="18"/>
                <w:szCs w:val="18"/>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-719455</wp:posOffset>
            </wp:positionV>
            <wp:extent cx="3764915"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64915" cy="351790"/>
                    </a:xfrm>
                    <a:prstGeom prst="rect">
                      <a:avLst/>
                    </a:prstGeom>
                    <a:noFill/>
                  </pic:spPr>
                </pic:pic>
              </a:graphicData>
            </a:graphic>
          </wp:anchor>
        </w:drawing>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i w:val="1"/>
          <w:iCs w:val="1"/>
          <w:color w:val="2B4C9B"/>
        </w:rPr>
        <w:t xml:space="preserve">Revenues. </w:t>
      </w:r>
      <w:r>
        <w:rPr>
          <w:rFonts w:ascii="Arial" w:cs="Arial" w:eastAsia="Arial" w:hAnsi="Arial"/>
          <w:sz w:val="17"/>
          <w:szCs w:val="17"/>
          <w:color w:val="000000"/>
        </w:rPr>
        <w:t>Revenues increased $205 million from fiscal 2018 to fiscal 2019 primarily due to newly awarded contracts ($164 million), which</w:t>
      </w:r>
      <w:r>
        <w:rPr>
          <w:rFonts w:ascii="Arial" w:cs="Arial" w:eastAsia="Arial" w:hAnsi="Arial"/>
          <w:sz w:val="17"/>
          <w:szCs w:val="17"/>
          <w:i w:val="1"/>
          <w:iCs w:val="1"/>
          <w:color w:val="2B4C9B"/>
        </w:rPr>
        <w:t xml:space="preserve"> </w:t>
      </w:r>
      <w:r>
        <w:rPr>
          <w:rFonts w:ascii="Arial" w:cs="Arial" w:eastAsia="Arial" w:hAnsi="Arial"/>
          <w:sz w:val="17"/>
          <w:szCs w:val="17"/>
          <w:color w:val="000000"/>
        </w:rPr>
        <w:t>includes information technology (IT) integration contracts supporting state and local, and federal civilian agency customers, increased orders in our supply chain portfolio ($102 million), and the acquisition of Engility ($98 million). These increases were partially offset by reduced volume in fixed price vehicle production in the platform integration portfolio, completion of contracts and other net decreases across our portfolio ($159 million). Excluding acquired revenues and the impact of the partial government shutdown, compared to prior year, revenues increased by 2.6%.</w:t>
      </w:r>
    </w:p>
    <w:p>
      <w:pPr>
        <w:spacing w:after="0" w:line="14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Revenues increased $12 million from fiscal 2017 to fiscal 2018 primarily due to revenue on new contracts supporting NASA, the U.S. Army, and the Environmental Protection Agency (EPA) ($156 million), increased orders within our supply chain portfolio ($56 million) and higher revenue on platform integration programs ($31 million). These increases were partially offset by one additional week in the prior year ($88 million) and completion of contracts and other net decreases across our portfolio ($143 million), including the loss of an IT integration contract supporting the DHS ($46 million).</w:t>
      </w:r>
    </w:p>
    <w:p>
      <w:pPr>
        <w:spacing w:after="0" w:line="14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2B4C9B"/>
        </w:rPr>
        <w:t xml:space="preserve">Cost of Revenues. </w:t>
      </w:r>
      <w:r>
        <w:rPr>
          <w:rFonts w:ascii="Arial" w:cs="Arial" w:eastAsia="Arial" w:hAnsi="Arial"/>
          <w:sz w:val="18"/>
          <w:szCs w:val="18"/>
          <w:color w:val="000000"/>
        </w:rPr>
        <w:t>Cost of revenues increased $152 million from fiscal 2018 to fiscal 2019 primarily due to an increase in revenue volume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the acquisition of Engility. Cost of revenues as a percentage of revenues decreased from 90.8% in fiscal 2018 to 90.0% in fiscal 2019, driven by improved performance across our portfolio ($45 million), inclusive of newly awarded contracts, higher net favorable changes in estimates related to performance obligations satisfied over time ($20 million) and realization of cost efficiencies related to our restructuring activities in fiscal 2018. These improvements were partially offset by an increase in our provisions for inventory and deferred contract costs ($36 million).</w:t>
      </w:r>
    </w:p>
    <w:p>
      <w:pPr>
        <w:spacing w:after="0" w:line="1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Cost of revenues increased $40 million from fiscal 2017 to fiscal 2018 and as a percentage of revenues increased from 90.1% in fiscal 2017 to 90.8% in fiscal 2018, primarily due to lower net favorable changes in estimates on contracts related to performance obligations satisfied over time ($25 million), and lower profit from a higher material cost mix and higher volume of cost reimbursable contracts ($8 million). Lower net favorable changes in estimates were largely driven by increased costs on platform integration programs supporting the U.S. Marine Corps combined with prior year write-ups on certain programs supporting federal civilian agencies. Additionally, we incurred higher severance costs related to our restructuring in fiscal 2018 ($5 million).</w:t>
      </w:r>
    </w:p>
    <w:p>
      <w:pPr>
        <w:spacing w:after="0" w:line="16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Cost of revenues also decreased in fiscal 2018 and fiscal 2019 due to an annual update to our Disclosure Statements that we prepare in accordance with U.S. government Cost Accounting Standards. We classify indirect costs as cost of revenues or selling, general and administrative expenses (SG&amp;A) in the same manner as such costs are defined in our Disclosure Statements. The update resulted in certain types of costs that had previously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24</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been included in cost of revenues to be included in SG&amp;A ($2 million and $9 million for fiscal 2019 and fiscal 2018, respectively); however, total operating costs were not affected by this change.</w:t>
      </w:r>
    </w:p>
    <w:p>
      <w:pPr>
        <w:spacing w:after="0" w:line="13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2B4C9B"/>
        </w:rPr>
        <w:t xml:space="preserve">Selling, General and Administrative Expenses. </w:t>
      </w:r>
      <w:r>
        <w:rPr>
          <w:rFonts w:ascii="Arial" w:cs="Arial" w:eastAsia="Arial" w:hAnsi="Arial"/>
          <w:sz w:val="18"/>
          <w:szCs w:val="18"/>
          <w:color w:val="000000"/>
        </w:rPr>
        <w:t>SG&amp;A increased $3 million from fiscal 2018 to fiscal 2019 primarily due to the acquisition of</w:t>
      </w:r>
      <w:r>
        <w:rPr>
          <w:rFonts w:ascii="Arial" w:cs="Arial" w:eastAsia="Arial" w:hAnsi="Arial"/>
          <w:sz w:val="18"/>
          <w:szCs w:val="18"/>
          <w:i w:val="1"/>
          <w:iCs w:val="1"/>
          <w:color w:val="2B4C9B"/>
        </w:rPr>
        <w:t xml:space="preserve"> </w:t>
      </w:r>
      <w:r>
        <w:rPr>
          <w:rFonts w:ascii="Arial" w:cs="Arial" w:eastAsia="Arial" w:hAnsi="Arial"/>
          <w:sz w:val="18"/>
          <w:szCs w:val="18"/>
          <w:color w:val="000000"/>
        </w:rPr>
        <w:t>Engility ($7 million) and higher intangible asset amortization driven by Engility ($3 million), partially offset by a gain realized from the settlement of claims against the indemnification escrow balance established when Scitor was acquired ($6 million).</w:t>
      </w:r>
    </w:p>
    <w:p>
      <w:pPr>
        <w:spacing w:after="0" w:line="15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SG&amp;A decreased $11 million, from fiscal 2017 to fiscal 2018 primarily due to lower lease exit costs ($8 million), lower business development costs ($ 8 million), lower amortization of intangible assets ($ 5 million), and lower compensation expense ($3 million). These decreases were partially offset by restructuring costs incurred in fiscal 2018 ($7 million) and updates to our Disclosure Statements.</w:t>
      </w:r>
    </w:p>
    <w:p>
      <w:pPr>
        <w:spacing w:after="0" w:line="31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2B4C9B"/>
        </w:rPr>
        <w:t xml:space="preserve">Operating Income. </w:t>
      </w:r>
      <w:r>
        <w:rPr>
          <w:rFonts w:ascii="Arial" w:cs="Arial" w:eastAsia="Arial" w:hAnsi="Arial"/>
          <w:sz w:val="18"/>
          <w:szCs w:val="18"/>
          <w:color w:val="000000"/>
        </w:rPr>
        <w:t>Operating income as a percentage of revenues decreased to 4.7% for fiscal 2019, compared to 5.7% for fiscal 2018,</w:t>
      </w:r>
      <w:r>
        <w:rPr>
          <w:rFonts w:ascii="Arial" w:cs="Arial" w:eastAsia="Arial" w:hAnsi="Arial"/>
          <w:sz w:val="18"/>
          <w:szCs w:val="18"/>
          <w:i w:val="1"/>
          <w:iCs w:val="1"/>
          <w:color w:val="2B4C9B"/>
        </w:rPr>
        <w:t xml:space="preserve"> </w:t>
      </w:r>
      <w:r>
        <w:rPr>
          <w:rFonts w:ascii="Arial" w:cs="Arial" w:eastAsia="Arial" w:hAnsi="Arial"/>
          <w:sz w:val="18"/>
          <w:szCs w:val="18"/>
          <w:color w:val="000000"/>
        </w:rPr>
        <w:t>primarily due to costs associated with the acquisition and integration of Engility ($86 million) and an increase in our inventory and deferred contract cost provisions, partially offset by improved performance across our portfolio and the realization of cost efficiencies resulting from our restructuring activities in fiscal 2018.</w:t>
      </w:r>
    </w:p>
    <w:p>
      <w:pPr>
        <w:spacing w:after="0" w:line="33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Operating income as a percentage of revenues decreased to 5.7% for fiscal 2018, compared to 5.9% for fiscal 2017, primarily due to lower net favorable changes in estimates on contracts related to performance obligations satisfied over time and restructuring costs in fiscal 2018. These decreases were partially offset by lower SG&amp;A costs as we continue to drive efficiencies across our operating structure.</w:t>
      </w:r>
    </w:p>
    <w:p>
      <w:pPr>
        <w:spacing w:after="0" w:line="31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2B4C9B"/>
        </w:rPr>
        <w:t xml:space="preserve">Net Income. </w:t>
      </w:r>
      <w:r>
        <w:rPr>
          <w:rFonts w:ascii="Arial" w:cs="Arial" w:eastAsia="Arial" w:hAnsi="Arial"/>
          <w:sz w:val="18"/>
          <w:szCs w:val="18"/>
          <w:color w:val="000000"/>
        </w:rPr>
        <w:t>Net income decreased $42 million from fiscal 2018 to fiscal 2019 primarily due to lower operating income, expenses associated</w:t>
      </w:r>
      <w:r>
        <w:rPr>
          <w:rFonts w:ascii="Arial" w:cs="Arial" w:eastAsia="Arial" w:hAnsi="Arial"/>
          <w:sz w:val="18"/>
          <w:szCs w:val="18"/>
          <w:i w:val="1"/>
          <w:iCs w:val="1"/>
          <w:color w:val="2B4C9B"/>
        </w:rPr>
        <w:t xml:space="preserve"> </w:t>
      </w:r>
      <w:r>
        <w:rPr>
          <w:rFonts w:ascii="Arial" w:cs="Arial" w:eastAsia="Arial" w:hAnsi="Arial"/>
          <w:sz w:val="18"/>
          <w:szCs w:val="18"/>
          <w:color w:val="000000"/>
        </w:rPr>
        <w:t>with the debt refinancing activities in the current year, and a higher effective tax rate in the current year.</w:t>
      </w:r>
    </w:p>
    <w:p>
      <w:pPr>
        <w:spacing w:after="0" w:line="3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Net income increased $36 million from fiscal 2017 to fiscal 2018 primarily due to lower income tax expense as a result of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($22 million), a one-time benefit from the effect of the federal corporate tax rate change ($17 million) and lower interest expense. These increases were partially offset by lower operating income.</w:t>
      </w:r>
    </w:p>
    <w:p>
      <w:pPr>
        <w:spacing w:after="0" w:line="31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2B4C9B"/>
        </w:rPr>
        <w:t xml:space="preserve">Cash Flows Provided by Operating Activities. </w:t>
      </w:r>
      <w:r>
        <w:rPr>
          <w:rFonts w:ascii="Arial" w:cs="Arial" w:eastAsia="Arial" w:hAnsi="Arial"/>
          <w:sz w:val="18"/>
          <w:szCs w:val="18"/>
          <w:color w:val="000000"/>
        </w:rPr>
        <w:t>Cash flows provided by operating activities were $184 million for fiscal 2019 which represented a</w:t>
      </w:r>
      <w:r>
        <w:rPr>
          <w:rFonts w:ascii="Arial" w:cs="Arial" w:eastAsia="Arial" w:hAnsi="Arial"/>
          <w:sz w:val="18"/>
          <w:szCs w:val="18"/>
          <w:i w:val="1"/>
          <w:iCs w:val="1"/>
          <w:color w:val="2B4C9B"/>
        </w:rPr>
        <w:t xml:space="preserve"> </w:t>
      </w:r>
      <w:r>
        <w:rPr>
          <w:rFonts w:ascii="Arial" w:cs="Arial" w:eastAsia="Arial" w:hAnsi="Arial"/>
          <w:sz w:val="18"/>
          <w:szCs w:val="18"/>
          <w:color w:val="000000"/>
        </w:rPr>
        <w:t>decrease of $33 million from fiscal 2018 primarily due to acquisition and integration expenses and the U.S. federal government partial shutdown, which was partially offset by higher profit margin and strong collections on our supply chain contracts.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provided by operating activities were $217 million for fiscal 2018 which represented a decrease of $56 million from fiscal 2017 primarily due to the timing of customer collections ($125 million), partially offset by an extra week of payroll in the prior year ($30 million), a net reduction in working capital investments in Marine Corps platform integration and IT services programs ($18 million) and excess tax benefits for stock based compensation in the current year ($22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Non-GAAP Measures</w:t>
      </w:r>
    </w:p>
    <w:p>
      <w:pPr>
        <w:spacing w:after="0" w:line="38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Earnings before interest, taxes, depreciation and amortization (EBITDA), and adjusted EBITDA are non-GAAP financial measures.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25</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2B4C9B"/>
        </w:rPr>
        <w:t xml:space="preserve">EBITDA and Adjusted EBITDA. </w:t>
      </w:r>
      <w:r>
        <w:rPr>
          <w:rFonts w:ascii="Arial" w:cs="Arial" w:eastAsia="Arial" w:hAnsi="Arial"/>
          <w:sz w:val="18"/>
          <w:szCs w:val="18"/>
          <w:color w:val="000000"/>
        </w:rPr>
        <w:t>The performance measure EBITDA is calculated by taking net income and excluding interest expense, interest</w:t>
      </w:r>
      <w:r>
        <w:rPr>
          <w:rFonts w:ascii="Arial" w:cs="Arial" w:eastAsia="Arial" w:hAnsi="Arial"/>
          <w:sz w:val="18"/>
          <w:szCs w:val="18"/>
          <w:i w:val="1"/>
          <w:iCs w:val="1"/>
          <w:color w:val="2B4C9B"/>
        </w:rPr>
        <w:t xml:space="preserve"> </w:t>
      </w:r>
      <w:r>
        <w:rPr>
          <w:rFonts w:ascii="Arial" w:cs="Arial" w:eastAsia="Arial" w:hAnsi="Arial"/>
          <w:sz w:val="18"/>
          <w:szCs w:val="18"/>
          <w:color w:val="000000"/>
        </w:rPr>
        <w:t>income, provision for income taxes, and depreciation and amortization. Adjusted EBITDA is calculated by taking EBITDA and excluding restructuring costs, and acquisition and integration costs. Integration costs excluded are costs to integrate acquired companies and include the costs of strategic consulting services, facility consolidation and employee severance. The acquisition and integration costs relate to the Company’s significant acquisitions of Engility and Scitor. We began excluding restructuring costs in the third quarter of fiscal 2018 as a result of the restructuring described above. Adjusted EBITDA is a performance measure that excludes costs that we do not consider to be indicative of our ongoing operating performance.</w:t>
      </w:r>
    </w:p>
    <w:p>
      <w:pPr>
        <w:spacing w:after="0" w:line="16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believe that EBITDA and adjusted EBITDA provide management and investors with useful information in assessing trends in our ongoing operating performance and may provide greater visibility in understanding the long-term financial performance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EBITDA is calculated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140" w:type="dxa"/>
            <w:vAlign w:val="bottom"/>
            <w:tcBorders>
              <w:bottom w:val="single" w:sz="8" w:color="2B469B"/>
            </w:tcBorders>
          </w:tcPr>
          <w:p>
            <w:pPr>
              <w:spacing w:after="0"/>
              <w:rPr>
                <w:sz w:val="15"/>
                <w:szCs w:val="15"/>
                <w:color w:val="auto"/>
              </w:rPr>
            </w:pPr>
          </w:p>
        </w:tc>
        <w:tc>
          <w:tcPr>
            <w:tcW w:w="1340" w:type="dxa"/>
            <w:vAlign w:val="bottom"/>
            <w:tcBorders>
              <w:bottom w:val="single" w:sz="8" w:color="2B469B"/>
            </w:tcBorders>
          </w:tcPr>
          <w:p>
            <w:pPr>
              <w:spacing w:after="0"/>
              <w:rPr>
                <w:sz w:val="15"/>
                <w:szCs w:val="15"/>
                <w:color w:val="auto"/>
              </w:rPr>
            </w:pPr>
          </w:p>
        </w:tc>
        <w:tc>
          <w:tcPr>
            <w:tcW w:w="260" w:type="dxa"/>
            <w:vAlign w:val="bottom"/>
            <w:tcBorders>
              <w:bottom w:val="single" w:sz="8" w:color="2B469B"/>
            </w:tcBorders>
          </w:tcPr>
          <w:p>
            <w:pPr>
              <w:spacing w:after="0"/>
              <w:rPr>
                <w:sz w:val="15"/>
                <w:szCs w:val="15"/>
                <w:color w:val="auto"/>
              </w:rPr>
            </w:pPr>
          </w:p>
        </w:tc>
        <w:tc>
          <w:tcPr>
            <w:tcW w:w="1380" w:type="dxa"/>
            <w:vAlign w:val="bottom"/>
            <w:tcBorders>
              <w:bottom w:val="single" w:sz="8" w:color="2B469B"/>
            </w:tcBorders>
          </w:tcPr>
          <w:p>
            <w:pPr>
              <w:jc w:val="center"/>
              <w:ind w:right="36"/>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2B469B"/>
            </w:tcBorders>
          </w:tcPr>
          <w:p>
            <w:pPr>
              <w:spacing w:after="0"/>
              <w:rPr>
                <w:sz w:val="15"/>
                <w:szCs w:val="15"/>
                <w:color w:val="auto"/>
              </w:rPr>
            </w:pPr>
          </w:p>
        </w:tc>
        <w:tc>
          <w:tcPr>
            <w:tcW w:w="1320" w:type="dxa"/>
            <w:vAlign w:val="bottom"/>
            <w:tcBorders>
              <w:bottom w:val="single" w:sz="8" w:color="2B469B"/>
            </w:tcBorders>
          </w:tcPr>
          <w:p>
            <w:pPr>
              <w:spacing w:after="0"/>
              <w:rPr>
                <w:sz w:val="15"/>
                <w:szCs w:val="15"/>
                <w:color w:val="auto"/>
              </w:rPr>
            </w:pPr>
          </w:p>
        </w:tc>
      </w:tr>
      <w:tr>
        <w:trPr>
          <w:trHeight w:val="264"/>
        </w:trPr>
        <w:tc>
          <w:tcPr>
            <w:tcW w:w="6720" w:type="dxa"/>
            <w:vAlign w:val="bottom"/>
            <w:tcBorders>
              <w:bottom w:val="single" w:sz="8" w:color="2B4C9B"/>
            </w:tcBorders>
          </w:tcPr>
          <w:p>
            <w:pPr>
              <w:spacing w:after="0"/>
              <w:rPr>
                <w:sz w:val="22"/>
                <w:szCs w:val="22"/>
                <w:color w:val="auto"/>
              </w:rPr>
            </w:pPr>
          </w:p>
        </w:tc>
        <w:tc>
          <w:tcPr>
            <w:tcW w:w="14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134"/>
              <w:spacing w:after="0"/>
              <w:rPr>
                <w:sz w:val="20"/>
                <w:szCs w:val="20"/>
                <w:color w:val="auto"/>
              </w:rPr>
            </w:pPr>
            <w:r>
              <w:rPr>
                <w:rFonts w:ascii="Arial" w:cs="Arial" w:eastAsia="Arial" w:hAnsi="Arial"/>
                <w:sz w:val="14"/>
                <w:szCs w:val="14"/>
                <w:b w:val="1"/>
                <w:bCs w:val="1"/>
                <w:color w:val="2B4C9B"/>
                <w:w w:val="99"/>
              </w:rPr>
              <w:t>February 1, 2019</w:t>
            </w:r>
          </w:p>
        </w:tc>
        <w:tc>
          <w:tcPr>
            <w:tcW w:w="26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center"/>
              <w:ind w:right="76"/>
              <w:spacing w:after="0"/>
              <w:rPr>
                <w:sz w:val="20"/>
                <w:szCs w:val="20"/>
                <w:color w:val="auto"/>
              </w:rPr>
            </w:pPr>
            <w:r>
              <w:rPr>
                <w:rFonts w:ascii="Arial" w:cs="Arial" w:eastAsia="Arial" w:hAnsi="Arial"/>
                <w:sz w:val="14"/>
                <w:szCs w:val="14"/>
                <w:color w:val="auto"/>
              </w:rPr>
              <w:t>February 2, 2018</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4"/>
                <w:szCs w:val="14"/>
                <w:color w:val="auto"/>
              </w:rPr>
              <w:t>February 3, 2017</w:t>
            </w:r>
          </w:p>
        </w:tc>
      </w:tr>
      <w:tr>
        <w:trPr>
          <w:trHeight w:val="264"/>
        </w:trPr>
        <w:tc>
          <w:tcPr>
            <w:tcW w:w="6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center"/>
              <w:ind w:right="56"/>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340" w:type="dxa"/>
            <w:vAlign w:val="bottom"/>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137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143</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53</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52</w:t>
            </w:r>
          </w:p>
        </w:tc>
      </w:tr>
      <w:tr>
        <w:trPr>
          <w:trHeight w:val="277"/>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w:t>
            </w: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33</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69</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47</w:t>
            </w:r>
          </w:p>
        </w:tc>
        <w:tc>
          <w:tcPr>
            <w:tcW w:w="26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jc w:val="right"/>
              <w:ind w:right="136"/>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2B4C9B"/>
            </w:tcBorders>
            <w:shd w:val="clear" w:color="auto" w:fill="CFF0FC"/>
          </w:tcPr>
          <w:p>
            <w:pPr>
              <w:spacing w:after="0"/>
              <w:rPr>
                <w:sz w:val="23"/>
                <w:szCs w:val="23"/>
                <w:color w:val="auto"/>
              </w:rPr>
            </w:pPr>
          </w:p>
        </w:tc>
        <w:tc>
          <w:tcPr>
            <w:tcW w:w="132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50</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267</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314</w:t>
            </w:r>
          </w:p>
        </w:tc>
      </w:tr>
      <w:tr>
        <w:trPr>
          <w:trHeight w:val="278"/>
        </w:trPr>
        <w:tc>
          <w:tcPr>
            <w:tcW w:w="6720" w:type="dxa"/>
            <w:vAlign w:val="bottom"/>
          </w:tcPr>
          <w:p>
            <w:pPr>
              <w:ind w:left="180"/>
              <w:spacing w:after="0"/>
              <w:rPr>
                <w:sz w:val="20"/>
                <w:szCs w:val="20"/>
                <w:color w:val="auto"/>
              </w:rPr>
            </w:pPr>
            <w:r>
              <w:rPr>
                <w:rFonts w:ascii="Arial" w:cs="Arial" w:eastAsia="Arial" w:hAnsi="Arial"/>
                <w:sz w:val="14"/>
                <w:szCs w:val="14"/>
                <w:i w:val="1"/>
                <w:iCs w:val="1"/>
                <w:color w:val="auto"/>
              </w:rPr>
              <w:t>EBITDA as a percentage of revenues</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2B4C9B"/>
              </w:rPr>
              <w:t>5.7%</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6.8%</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7.1%</w:t>
            </w: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86</w:t>
            </w: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Depreciation included in restructuring costs and acquisition and integration costs</w:t>
            </w:r>
          </w:p>
        </w:tc>
        <w:tc>
          <w:tcPr>
            <w:tcW w:w="1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jc w:val="right"/>
              <w:ind w:right="76"/>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2B4C9B"/>
            </w:tcBorders>
            <w:shd w:val="clear" w:color="auto" w:fill="CFF0FC"/>
          </w:tcPr>
          <w:p>
            <w:pPr>
              <w:spacing w:after="0"/>
              <w:rPr>
                <w:sz w:val="23"/>
                <w:szCs w:val="23"/>
                <w:color w:val="auto"/>
              </w:rPr>
            </w:pPr>
          </w:p>
        </w:tc>
        <w:tc>
          <w:tcPr>
            <w:tcW w:w="132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(2)</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B4C9B"/>
                <w:w w:val="99"/>
              </w:rPr>
              <w:t>$</w:t>
            </w: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353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322</w:t>
            </w:r>
          </w:p>
        </w:tc>
      </w:tr>
      <w:tr>
        <w:trPr>
          <w:trHeight w:val="272"/>
        </w:trPr>
        <w:tc>
          <w:tcPr>
            <w:tcW w:w="6720" w:type="dxa"/>
            <w:vAlign w:val="bottom"/>
          </w:tcPr>
          <w:p>
            <w:pPr>
              <w:ind w:left="180"/>
              <w:spacing w:after="0"/>
              <w:rPr>
                <w:sz w:val="20"/>
                <w:szCs w:val="20"/>
                <w:color w:val="auto"/>
              </w:rPr>
            </w:pPr>
            <w:r>
              <w:rPr>
                <w:rFonts w:ascii="Arial" w:cs="Arial" w:eastAsia="Arial" w:hAnsi="Arial"/>
                <w:sz w:val="14"/>
                <w:szCs w:val="14"/>
                <w:i w:val="1"/>
                <w:iCs w:val="1"/>
                <w:color w:val="auto"/>
              </w:rPr>
              <w:t>Adjusted EBITDA as a percentage of revenues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2B4C9B"/>
              </w:rPr>
              <w:t>7.6%</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7.2%</w:t>
            </w:r>
          </w:p>
        </w:tc>
      </w:tr>
    </w:tbl>
    <w:p>
      <w:pPr>
        <w:spacing w:after="0" w:line="18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Adjusted EBITDA as a percentage of revenues increased to 7.6% for fiscal 2019, compared to 7.0% for fiscal 2018, driven by improved performance across our portfolio and higher net favorable changes in estimates related to performance obligations satisfied over time and realization of cost efficiencies, partially offset by an increase in our inventory and deferred contract cost provisions.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EBITDA as a percentage of revenues decreased to 7.0% for fiscal 2018, compared to 7.2% for fiscal 2017, due to lower net favorable changes in estimates on contracts related to performance obligations satisfied over time. These drivers were partially offset by lower SG&amp;A costs in the current year as we continue to drive efficiencies across our operating structure.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Other Key Performance Measures</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spacing w:after="0" w:line="1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2B4C9B"/>
        </w:rPr>
        <w:t xml:space="preserve">Net Bookings and Backlog. </w:t>
      </w:r>
      <w:r>
        <w:rPr>
          <w:rFonts w:ascii="Arial" w:cs="Arial" w:eastAsia="Arial" w:hAnsi="Arial"/>
          <w:sz w:val="18"/>
          <w:szCs w:val="18"/>
          <w:color w:val="000000"/>
        </w:rPr>
        <w:t>Net bookings represent the estimated amount of revenues to be earned in the future from funded and negotiated</w:t>
      </w:r>
      <w:r>
        <w:rPr>
          <w:rFonts w:ascii="Arial" w:cs="Arial" w:eastAsia="Arial" w:hAnsi="Arial"/>
          <w:sz w:val="18"/>
          <w:szCs w:val="18"/>
          <w:i w:val="1"/>
          <w:iCs w:val="1"/>
          <w:color w:val="2B4C9B"/>
        </w:rPr>
        <w:t xml:space="preserve"> </w:t>
      </w:r>
      <w:r>
        <w:rPr>
          <w:rFonts w:ascii="Arial" w:cs="Arial" w:eastAsia="Arial" w:hAnsi="Arial"/>
          <w:sz w:val="18"/>
          <w:szCs w:val="18"/>
          <w:color w:val="000000"/>
        </w:rPr>
        <w:t>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26</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segregate our backlog into two categories as follows:</w:t>
      </w:r>
    </w:p>
    <w:p>
      <w:pPr>
        <w:spacing w:after="0" w:line="167" w:lineRule="exact"/>
        <w:rPr>
          <w:sz w:val="20"/>
          <w:szCs w:val="20"/>
          <w:color w:val="auto"/>
        </w:rPr>
      </w:pPr>
    </w:p>
    <w:p>
      <w:pPr>
        <w:ind w:left="740" w:right="100" w:hanging="489"/>
        <w:spacing w:after="0" w:line="25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2B4C9B"/>
        </w:rPr>
        <w:t xml:space="preserve">Funded Backlog. </w:t>
      </w:r>
      <w:r>
        <w:rPr>
          <w:rFonts w:ascii="Arial" w:cs="Arial" w:eastAsia="Arial" w:hAnsi="Arial"/>
          <w:sz w:val="18"/>
          <w:szCs w:val="18"/>
          <w:color w:val="000000"/>
        </w:rPr>
        <w:t>Funded backlog for contracts with government agencies primarily represents estimated amounts of revenue to be</w:t>
      </w:r>
      <w:r>
        <w:rPr>
          <w:rFonts w:ascii="Arial" w:cs="Arial" w:eastAsia="Arial" w:hAnsi="Arial"/>
          <w:sz w:val="18"/>
          <w:szCs w:val="18"/>
          <w:i w:val="1"/>
          <w:iCs w:val="1"/>
          <w:color w:val="2B4C9B"/>
        </w:rPr>
        <w:t xml:space="preserve"> </w:t>
      </w:r>
      <w:r>
        <w:rPr>
          <w:rFonts w:ascii="Arial" w:cs="Arial" w:eastAsia="Arial" w:hAnsi="Arial"/>
          <w:sz w:val="18"/>
          <w:szCs w:val="18"/>
          <w:color w:val="000000"/>
        </w:rPr>
        <w:t>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spacing w:after="0" w:line="142" w:lineRule="exact"/>
        <w:rPr>
          <w:rFonts w:ascii="Arial" w:cs="Arial" w:eastAsia="Arial" w:hAnsi="Arial"/>
          <w:sz w:val="18"/>
          <w:szCs w:val="18"/>
          <w:color w:val="auto"/>
        </w:rPr>
      </w:pPr>
    </w:p>
    <w:p>
      <w:pPr>
        <w:ind w:left="740" w:hanging="489"/>
        <w:spacing w:after="0" w:line="261"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2B4C9B"/>
        </w:rPr>
        <w:t xml:space="preserve">Negotiated Unfunded Backlog. </w:t>
      </w:r>
      <w:r>
        <w:rPr>
          <w:rFonts w:ascii="Arial" w:cs="Arial" w:eastAsia="Arial" w:hAnsi="Arial"/>
          <w:sz w:val="18"/>
          <w:szCs w:val="18"/>
          <w:color w:val="000000"/>
        </w:rPr>
        <w:t>Negotiated unfunded backlog represents estimated amounts of revenue to be earned in the future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Borders>
              <w:bottom w:val="single" w:sz="8" w:color="2B4C9B"/>
            </w:tcBorders>
          </w:tcPr>
          <w:p>
            <w:pPr>
              <w:spacing w:after="0"/>
              <w:rPr>
                <w:sz w:val="17"/>
                <w:szCs w:val="17"/>
                <w:color w:val="auto"/>
              </w:rPr>
            </w:pPr>
          </w:p>
        </w:tc>
        <w:tc>
          <w:tcPr>
            <w:tcW w:w="320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February 1, 2019</w:t>
            </w:r>
          </w:p>
        </w:tc>
        <w:tc>
          <w:tcPr>
            <w:tcW w:w="260" w:type="dxa"/>
            <w:vAlign w:val="bottom"/>
            <w:tcBorders>
              <w:bottom w:val="single" w:sz="8" w:color="2B4C9B"/>
            </w:tcBorders>
          </w:tcPr>
          <w:p>
            <w:pPr>
              <w:spacing w:after="0"/>
              <w:rPr>
                <w:sz w:val="17"/>
                <w:szCs w:val="17"/>
                <w:color w:val="auto"/>
              </w:rPr>
            </w:pPr>
          </w:p>
        </w:tc>
        <w:tc>
          <w:tcPr>
            <w:tcW w:w="122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February 2, 2018</w:t>
            </w:r>
          </w:p>
        </w:tc>
      </w:tr>
      <w:tr>
        <w:trPr>
          <w:trHeight w:val="264"/>
        </w:trPr>
        <w:tc>
          <w:tcPr>
            <w:tcW w:w="54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740" w:type="dxa"/>
            <w:vAlign w:val="bottom"/>
            <w:gridSpan w:val="3"/>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76"/>
        </w:trPr>
        <w:tc>
          <w:tcPr>
            <w:tcW w:w="5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Funded backlog</w:t>
            </w:r>
          </w:p>
        </w:tc>
        <w:tc>
          <w:tcPr>
            <w:tcW w:w="3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2,753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2,012</w:t>
            </w:r>
          </w:p>
        </w:tc>
      </w:tr>
      <w:tr>
        <w:trPr>
          <w:trHeight w:val="264"/>
        </w:trPr>
        <w:tc>
          <w:tcPr>
            <w:tcW w:w="54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Negotiated unfunded backlog</w:t>
            </w:r>
          </w:p>
        </w:tc>
        <w:tc>
          <w:tcPr>
            <w:tcW w:w="32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11,048</w:t>
            </w:r>
          </w:p>
        </w:tc>
        <w:tc>
          <w:tcPr>
            <w:tcW w:w="260" w:type="dxa"/>
            <w:vAlign w:val="bottom"/>
            <w:tcBorders>
              <w:bottom w:val="single" w:sz="8" w:color="2B4C9B"/>
            </w:tcBorders>
          </w:tcPr>
          <w:p>
            <w:pPr>
              <w:spacing w:after="0"/>
              <w:rPr>
                <w:sz w:val="22"/>
                <w:szCs w:val="22"/>
                <w:color w:val="auto"/>
              </w:rPr>
            </w:pPr>
          </w:p>
        </w:tc>
        <w:tc>
          <w:tcPr>
            <w:tcW w:w="122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8,215</w:t>
            </w:r>
          </w:p>
        </w:tc>
      </w:tr>
      <w:tr>
        <w:trPr>
          <w:trHeight w:val="277"/>
        </w:trPr>
        <w:tc>
          <w:tcPr>
            <w:tcW w:w="54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backlog</w:t>
            </w:r>
          </w:p>
        </w:tc>
        <w:tc>
          <w:tcPr>
            <w:tcW w:w="3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13,801</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10,227</w:t>
            </w:r>
          </w:p>
        </w:tc>
      </w:tr>
    </w:tbl>
    <w:p>
      <w:pPr>
        <w:spacing w:after="0" w:line="17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had net bookings worth an estimated $4.6 billion and $6.7 billion during fiscal 2019 and fiscal 2018, respectively. Fiscal 2019 total backlog has increased from the prior year primarily due to the acquisition of Engility in the fourth quarter; $3.6 billion of acquired backlog from Engility was recorded as an increase to backlog as of the acquisition date.</w:t>
      </w:r>
    </w:p>
    <w:p>
      <w:pPr>
        <w:spacing w:after="0" w:line="14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2B4C9B"/>
        </w:rPr>
        <w:t xml:space="preserve">Contract Types. </w:t>
      </w:r>
      <w:r>
        <w:rPr>
          <w:rFonts w:ascii="Arial" w:cs="Arial" w:eastAsia="Arial" w:hAnsi="Arial"/>
          <w:sz w:val="18"/>
          <w:szCs w:val="18"/>
          <w:color w:val="000000"/>
        </w:rPr>
        <w:t>Our earnings and profitability may vary materially depending on changes in the proportionate amount of revenues derived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each type of contract. For a discussion of the types of contracts under which we generate revenue, see “Business—Contract Types” in Part I of this report. The following table summarizes revenues by contract type as a percentage of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0" w:type="dxa"/>
            <w:vAlign w:val="bottom"/>
            <w:tcBorders>
              <w:bottom w:val="single" w:sz="8" w:color="2B4C9B"/>
            </w:tcBorders>
          </w:tcPr>
          <w:p>
            <w:pPr>
              <w:spacing w:after="0"/>
              <w:rPr>
                <w:sz w:val="15"/>
                <w:szCs w:val="15"/>
                <w:color w:val="auto"/>
              </w:rPr>
            </w:pPr>
          </w:p>
        </w:tc>
        <w:tc>
          <w:tcPr>
            <w:tcW w:w="1640" w:type="dxa"/>
            <w:vAlign w:val="bottom"/>
            <w:tcBorders>
              <w:bottom w:val="single" w:sz="8" w:color="2B4C9B"/>
            </w:tcBorders>
          </w:tcPr>
          <w:p>
            <w:pPr>
              <w:jc w:val="right"/>
              <w:ind w:right="396"/>
              <w:spacing w:after="0"/>
              <w:rPr>
                <w:sz w:val="20"/>
                <w:szCs w:val="20"/>
                <w:color w:val="auto"/>
              </w:rPr>
            </w:pPr>
            <w:r>
              <w:rPr>
                <w:rFonts w:ascii="Arial" w:cs="Arial" w:eastAsia="Arial" w:hAnsi="Arial"/>
                <w:sz w:val="14"/>
                <w:szCs w:val="14"/>
                <w:color w:val="auto"/>
              </w:rPr>
              <w:t>Year Ended</w:t>
            </w:r>
          </w:p>
        </w:tc>
        <w:tc>
          <w:tcPr>
            <w:tcW w:w="1480" w:type="dxa"/>
            <w:vAlign w:val="bottom"/>
            <w:tcBorders>
              <w:bottom w:val="single" w:sz="8" w:color="2B4C9B"/>
            </w:tcBorders>
          </w:tcPr>
          <w:p>
            <w:pPr>
              <w:spacing w:after="0"/>
              <w:rPr>
                <w:sz w:val="15"/>
                <w:szCs w:val="15"/>
                <w:color w:val="auto"/>
              </w:rPr>
            </w:pPr>
          </w:p>
        </w:tc>
      </w:tr>
      <w:tr>
        <w:trPr>
          <w:trHeight w:val="264"/>
        </w:trPr>
        <w:tc>
          <w:tcPr>
            <w:tcW w:w="3860" w:type="dxa"/>
            <w:vAlign w:val="bottom"/>
            <w:tcBorders>
              <w:bottom w:val="single" w:sz="8" w:color="2B4C9B"/>
            </w:tcBorders>
          </w:tcPr>
          <w:p>
            <w:pPr>
              <w:spacing w:after="0"/>
              <w:rPr>
                <w:sz w:val="22"/>
                <w:szCs w:val="22"/>
                <w:color w:val="auto"/>
              </w:rPr>
            </w:pPr>
          </w:p>
        </w:tc>
        <w:tc>
          <w:tcPr>
            <w:tcW w:w="2840" w:type="dxa"/>
            <w:vAlign w:val="bottom"/>
            <w:tcBorders>
              <w:bottom w:val="single" w:sz="8" w:color="2B4C9B"/>
            </w:tcBorders>
          </w:tcPr>
          <w:p>
            <w:pPr>
              <w:spacing w:after="0"/>
              <w:rPr>
                <w:sz w:val="22"/>
                <w:szCs w:val="22"/>
                <w:color w:val="auto"/>
              </w:rPr>
            </w:pPr>
          </w:p>
        </w:tc>
        <w:tc>
          <w:tcPr>
            <w:tcW w:w="160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February 1, 2019</w:t>
            </w:r>
          </w:p>
        </w:tc>
        <w:tc>
          <w:tcPr>
            <w:tcW w:w="164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color w:val="auto"/>
              </w:rPr>
              <w:t>February 2, 2018</w:t>
            </w:r>
          </w:p>
        </w:tc>
        <w:tc>
          <w:tcPr>
            <w:tcW w:w="148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February 3, 2017</w:t>
            </w:r>
          </w:p>
        </w:tc>
      </w:tr>
      <w:tr>
        <w:trPr>
          <w:trHeight w:val="270"/>
        </w:trPr>
        <w:tc>
          <w:tcPr>
            <w:tcW w:w="3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reimbursement</w:t>
            </w:r>
          </w:p>
        </w:tc>
        <w:tc>
          <w:tcPr>
            <w:tcW w:w="44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50%</w:t>
            </w:r>
          </w:p>
        </w:tc>
        <w:tc>
          <w:tcPr>
            <w:tcW w:w="16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45%</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3860" w:type="dxa"/>
            <w:vAlign w:val="bottom"/>
          </w:tcPr>
          <w:p>
            <w:pPr>
              <w:ind w:left="40"/>
              <w:spacing w:after="0"/>
              <w:rPr>
                <w:sz w:val="20"/>
                <w:szCs w:val="20"/>
                <w:color w:val="auto"/>
              </w:rPr>
            </w:pPr>
            <w:r>
              <w:rPr>
                <w:rFonts w:ascii="Arial" w:cs="Arial" w:eastAsia="Arial" w:hAnsi="Arial"/>
                <w:sz w:val="18"/>
                <w:szCs w:val="18"/>
                <w:color w:val="auto"/>
              </w:rPr>
              <w:t>Time and materials (T&amp;M)</w:t>
            </w:r>
          </w:p>
        </w:tc>
        <w:tc>
          <w:tcPr>
            <w:tcW w:w="44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2B4C9B"/>
              </w:rPr>
              <w:t>23%</w:t>
            </w:r>
          </w:p>
        </w:tc>
        <w:tc>
          <w:tcPr>
            <w:tcW w:w="1640" w:type="dxa"/>
            <w:vAlign w:val="bottom"/>
          </w:tcPr>
          <w:p>
            <w:pPr>
              <w:jc w:val="right"/>
              <w:ind w:right="116"/>
              <w:spacing w:after="0"/>
              <w:rPr>
                <w:sz w:val="20"/>
                <w:szCs w:val="20"/>
                <w:color w:val="auto"/>
              </w:rPr>
            </w:pPr>
            <w:r>
              <w:rPr>
                <w:rFonts w:ascii="Arial" w:cs="Arial" w:eastAsia="Arial" w:hAnsi="Arial"/>
                <w:sz w:val="18"/>
                <w:szCs w:val="18"/>
                <w:color w:val="auto"/>
              </w:rPr>
              <w:t>27%</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8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Firm-fixed price (FFP)</w:t>
            </w:r>
          </w:p>
        </w:tc>
        <w:tc>
          <w:tcPr>
            <w:tcW w:w="4440" w:type="dxa"/>
            <w:vAlign w:val="bottom"/>
            <w:tcBorders>
              <w:bottom w:val="single" w:sz="8" w:color="2B4C9B"/>
            </w:tcBorders>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27%</w:t>
            </w:r>
          </w:p>
        </w:tc>
        <w:tc>
          <w:tcPr>
            <w:tcW w:w="1640" w:type="dxa"/>
            <w:vAlign w:val="bottom"/>
            <w:tcBorders>
              <w:bottom w:val="single" w:sz="8" w:color="2B4C9B"/>
            </w:tcBorders>
            <w:shd w:val="clear" w:color="auto" w:fill="CFF0FC"/>
          </w:tcPr>
          <w:p>
            <w:pPr>
              <w:jc w:val="right"/>
              <w:ind w:right="116"/>
              <w:spacing w:after="0"/>
              <w:rPr>
                <w:sz w:val="20"/>
                <w:szCs w:val="20"/>
                <w:color w:val="auto"/>
              </w:rPr>
            </w:pPr>
            <w:r>
              <w:rPr>
                <w:rFonts w:ascii="Arial" w:cs="Arial" w:eastAsia="Arial" w:hAnsi="Arial"/>
                <w:sz w:val="18"/>
                <w:szCs w:val="18"/>
                <w:color w:val="auto"/>
              </w:rPr>
              <w:t>28%</w:t>
            </w: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38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4440" w:type="dxa"/>
            <w:vAlign w:val="bottom"/>
            <w:tcBorders>
              <w:bottom w:val="single" w:sz="8" w:color="2B4C9B"/>
            </w:tcBorders>
            <w:gridSpan w:val="2"/>
          </w:tcPr>
          <w:p>
            <w:pPr>
              <w:jc w:val="right"/>
              <w:ind w:right="128"/>
              <w:spacing w:after="0"/>
              <w:rPr>
                <w:sz w:val="20"/>
                <w:szCs w:val="20"/>
                <w:color w:val="auto"/>
              </w:rPr>
            </w:pPr>
            <w:r>
              <w:rPr>
                <w:rFonts w:ascii="Arial" w:cs="Arial" w:eastAsia="Arial" w:hAnsi="Arial"/>
                <w:sz w:val="18"/>
                <w:szCs w:val="18"/>
                <w:b w:val="1"/>
                <w:bCs w:val="1"/>
                <w:color w:val="2B4C9B"/>
              </w:rPr>
              <w:t>100%</w:t>
            </w:r>
          </w:p>
        </w:tc>
        <w:tc>
          <w:tcPr>
            <w:tcW w:w="1640" w:type="dxa"/>
            <w:vAlign w:val="bottom"/>
            <w:tcBorders>
              <w:bottom w:val="single" w:sz="8" w:color="2B4C9B"/>
            </w:tcBorders>
          </w:tcPr>
          <w:p>
            <w:pPr>
              <w:jc w:val="right"/>
              <w:ind w:right="116"/>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100%</w:t>
            </w:r>
          </w:p>
        </w:tc>
      </w:tr>
      <w:tr>
        <w:trPr>
          <w:trHeight w:val="675"/>
        </w:trPr>
        <w:tc>
          <w:tcPr>
            <w:tcW w:w="3860" w:type="dxa"/>
            <w:vAlign w:val="bottom"/>
          </w:tcPr>
          <w:p>
            <w:pPr>
              <w:spacing w:after="0"/>
              <w:rPr>
                <w:sz w:val="24"/>
                <w:szCs w:val="24"/>
                <w:color w:val="auto"/>
              </w:rPr>
            </w:pPr>
          </w:p>
        </w:tc>
        <w:tc>
          <w:tcPr>
            <w:tcW w:w="2840" w:type="dxa"/>
            <w:vAlign w:val="bottom"/>
          </w:tcPr>
          <w:p>
            <w:pPr>
              <w:jc w:val="right"/>
              <w:ind w:right="790"/>
              <w:spacing w:after="0"/>
              <w:rPr>
                <w:sz w:val="20"/>
                <w:szCs w:val="20"/>
                <w:color w:val="auto"/>
              </w:rPr>
            </w:pPr>
            <w:r>
              <w:rPr>
                <w:rFonts w:ascii="Arial" w:cs="Arial" w:eastAsia="Arial" w:hAnsi="Arial"/>
                <w:sz w:val="18"/>
                <w:szCs w:val="18"/>
                <w:color w:val="2B4C9B"/>
              </w:rPr>
              <w:t>27</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contract mix reflects an increase in cost reimbursement type contracts due to newly awarded contracts supporting federal civilian agencies and a change in contract type on a significant contract supporting the Department of Defense that shifted from a time and materials to cost reimbursement contract.</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2B4C9B"/>
        </w:rPr>
        <w:t xml:space="preserve">Cost of Revenues Mix. </w:t>
      </w:r>
      <w:r>
        <w:rPr>
          <w:rFonts w:ascii="Arial" w:cs="Arial" w:eastAsia="Arial" w:hAnsi="Arial"/>
          <w:sz w:val="18"/>
          <w:szCs w:val="18"/>
          <w:color w:val="000000"/>
        </w:rPr>
        <w:t>We generate revenues by providing a customized mix of services to our customers. The profit generated from our</w:t>
      </w:r>
      <w:r>
        <w:rPr>
          <w:rFonts w:ascii="Arial" w:cs="Arial" w:eastAsia="Arial" w:hAnsi="Arial"/>
          <w:sz w:val="18"/>
          <w:szCs w:val="18"/>
          <w:i w:val="1"/>
          <w:iCs w:val="1"/>
          <w:color w:val="2B4C9B"/>
        </w:rPr>
        <w:t xml:space="preserve"> </w:t>
      </w:r>
      <w:r>
        <w:rPr>
          <w:rFonts w:ascii="Arial" w:cs="Arial" w:eastAsia="Arial" w:hAnsi="Arial"/>
          <w:sz w:val="18"/>
          <w:szCs w:val="18"/>
          <w:color w:val="000000"/>
        </w:rPr>
        <w:t>service contracts is affected by the proportion of cost of revenues incurred from the efforts of our employees (which we refer to below as labor-related cost of revenues), the efforts of our subcontractors and the cost of materials used in the performance of our service obligations under our contracts. Contracts performed with a higher proportion of SAIC labor are generally more profitable. The following table presents changes in cost mix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600" w:type="dxa"/>
            <w:vAlign w:val="bottom"/>
            <w:tcBorders>
              <w:bottom w:val="single" w:sz="8" w:color="2B4C9B"/>
            </w:tcBorders>
          </w:tcPr>
          <w:p>
            <w:pPr>
              <w:spacing w:after="0"/>
              <w:rPr>
                <w:sz w:val="15"/>
                <w:szCs w:val="15"/>
                <w:color w:val="auto"/>
              </w:rPr>
            </w:pPr>
          </w:p>
        </w:tc>
        <w:tc>
          <w:tcPr>
            <w:tcW w:w="1840" w:type="dxa"/>
            <w:vAlign w:val="bottom"/>
            <w:tcBorders>
              <w:bottom w:val="single" w:sz="8" w:color="2B4C9B"/>
            </w:tcBorders>
          </w:tcPr>
          <w:p>
            <w:pPr>
              <w:jc w:val="right"/>
              <w:ind w:right="596"/>
              <w:spacing w:after="0"/>
              <w:rPr>
                <w:sz w:val="20"/>
                <w:szCs w:val="20"/>
                <w:color w:val="auto"/>
              </w:rPr>
            </w:pPr>
            <w:r>
              <w:rPr>
                <w:rFonts w:ascii="Arial" w:cs="Arial" w:eastAsia="Arial" w:hAnsi="Arial"/>
                <w:sz w:val="14"/>
                <w:szCs w:val="14"/>
                <w:color w:val="auto"/>
              </w:rPr>
              <w:t>Year Ended</w:t>
            </w:r>
          </w:p>
        </w:tc>
        <w:tc>
          <w:tcPr>
            <w:tcW w:w="1280" w:type="dxa"/>
            <w:vAlign w:val="bottom"/>
            <w:tcBorders>
              <w:bottom w:val="single" w:sz="8" w:color="2B4C9B"/>
            </w:tcBorders>
          </w:tcPr>
          <w:p>
            <w:pPr>
              <w:spacing w:after="0"/>
              <w:rPr>
                <w:sz w:val="15"/>
                <w:szCs w:val="15"/>
                <w:color w:val="auto"/>
              </w:rPr>
            </w:pPr>
          </w:p>
        </w:tc>
      </w:tr>
      <w:tr>
        <w:trPr>
          <w:trHeight w:val="264"/>
        </w:trPr>
        <w:tc>
          <w:tcPr>
            <w:tcW w:w="6700" w:type="dxa"/>
            <w:vAlign w:val="bottom"/>
            <w:tcBorders>
              <w:bottom w:val="single" w:sz="8" w:color="2B4C9B"/>
            </w:tcBorders>
          </w:tcPr>
          <w:p>
            <w:pPr>
              <w:spacing w:after="0"/>
              <w:rPr>
                <w:sz w:val="22"/>
                <w:szCs w:val="22"/>
                <w:color w:val="auto"/>
              </w:rPr>
            </w:pPr>
          </w:p>
        </w:tc>
        <w:tc>
          <w:tcPr>
            <w:tcW w:w="160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b w:val="1"/>
                <w:bCs w:val="1"/>
                <w:color w:val="2B4C9B"/>
              </w:rPr>
              <w:t>February 1, 2019</w:t>
            </w:r>
          </w:p>
        </w:tc>
        <w:tc>
          <w:tcPr>
            <w:tcW w:w="1840" w:type="dxa"/>
            <w:vAlign w:val="bottom"/>
            <w:tcBorders>
              <w:bottom w:val="single" w:sz="8" w:color="2B4C9B"/>
            </w:tcBorders>
          </w:tcPr>
          <w:p>
            <w:pPr>
              <w:jc w:val="right"/>
              <w:ind w:right="476"/>
              <w:spacing w:after="0"/>
              <w:rPr>
                <w:sz w:val="20"/>
                <w:szCs w:val="20"/>
                <w:color w:val="auto"/>
              </w:rPr>
            </w:pPr>
            <w:r>
              <w:rPr>
                <w:rFonts w:ascii="Arial" w:cs="Arial" w:eastAsia="Arial" w:hAnsi="Arial"/>
                <w:sz w:val="14"/>
                <w:szCs w:val="14"/>
                <w:color w:val="auto"/>
              </w:rPr>
              <w:t>February 2, 2018</w:t>
            </w:r>
          </w:p>
        </w:tc>
        <w:tc>
          <w:tcPr>
            <w:tcW w:w="128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February 3, 2017</w:t>
            </w:r>
          </w:p>
        </w:tc>
      </w:tr>
      <w:tr>
        <w:trPr>
          <w:trHeight w:val="264"/>
        </w:trPr>
        <w:tc>
          <w:tcPr>
            <w:tcW w:w="6700" w:type="dxa"/>
            <w:vAlign w:val="bottom"/>
          </w:tcPr>
          <w:p>
            <w:pPr>
              <w:spacing w:after="0"/>
              <w:rPr>
                <w:sz w:val="22"/>
                <w:szCs w:val="22"/>
                <w:color w:val="auto"/>
              </w:rPr>
            </w:pPr>
          </w:p>
        </w:tc>
        <w:tc>
          <w:tcPr>
            <w:tcW w:w="3440" w:type="dxa"/>
            <w:vAlign w:val="bottom"/>
            <w:gridSpan w:val="2"/>
          </w:tcPr>
          <w:p>
            <w:pPr>
              <w:jc w:val="right"/>
              <w:spacing w:after="0"/>
              <w:rPr>
                <w:sz w:val="20"/>
                <w:szCs w:val="20"/>
                <w:color w:val="auto"/>
              </w:rPr>
            </w:pPr>
            <w:r>
              <w:rPr>
                <w:rFonts w:ascii="Arial" w:cs="Arial" w:eastAsia="Arial" w:hAnsi="Arial"/>
                <w:sz w:val="14"/>
                <w:szCs w:val="14"/>
                <w:color w:val="auto"/>
              </w:rPr>
              <w:t>(as a % of total cost of revenues)</w:t>
            </w:r>
          </w:p>
        </w:tc>
        <w:tc>
          <w:tcPr>
            <w:tcW w:w="1280" w:type="dxa"/>
            <w:vAlign w:val="bottom"/>
          </w:tcPr>
          <w:p>
            <w:pPr>
              <w:spacing w:after="0"/>
              <w:rPr>
                <w:sz w:val="22"/>
                <w:szCs w:val="22"/>
                <w:color w:val="auto"/>
              </w:rPr>
            </w:pPr>
          </w:p>
        </w:tc>
      </w:tr>
      <w:tr>
        <w:trPr>
          <w:trHeight w:val="276"/>
        </w:trPr>
        <w:tc>
          <w:tcPr>
            <w:tcW w:w="6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Labor-related cost of revenues</w:t>
            </w:r>
          </w:p>
        </w:tc>
        <w:tc>
          <w:tcPr>
            <w:tcW w:w="1600" w:type="dxa"/>
            <w:vAlign w:val="bottom"/>
            <w:shd w:val="clear" w:color="auto" w:fill="CFF0FC"/>
          </w:tcPr>
          <w:p>
            <w:pPr>
              <w:jc w:val="right"/>
              <w:ind w:right="116"/>
              <w:spacing w:after="0"/>
              <w:rPr>
                <w:sz w:val="20"/>
                <w:szCs w:val="20"/>
                <w:color w:val="auto"/>
              </w:rPr>
            </w:pPr>
            <w:r>
              <w:rPr>
                <w:rFonts w:ascii="Arial" w:cs="Arial" w:eastAsia="Arial" w:hAnsi="Arial"/>
                <w:sz w:val="18"/>
                <w:szCs w:val="18"/>
                <w:b w:val="1"/>
                <w:bCs w:val="1"/>
                <w:color w:val="2B4C9B"/>
              </w:rPr>
              <w:t>48%</w:t>
            </w:r>
          </w:p>
        </w:tc>
        <w:tc>
          <w:tcPr>
            <w:tcW w:w="184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47%</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Subcontractor-related cost of revenues</w:t>
            </w:r>
          </w:p>
        </w:tc>
        <w:tc>
          <w:tcPr>
            <w:tcW w:w="1600" w:type="dxa"/>
            <w:vAlign w:val="bottom"/>
          </w:tcPr>
          <w:p>
            <w:pPr>
              <w:jc w:val="right"/>
              <w:ind w:right="116"/>
              <w:spacing w:after="0"/>
              <w:rPr>
                <w:sz w:val="20"/>
                <w:szCs w:val="20"/>
                <w:color w:val="auto"/>
              </w:rPr>
            </w:pPr>
            <w:r>
              <w:rPr>
                <w:rFonts w:ascii="Arial" w:cs="Arial" w:eastAsia="Arial" w:hAnsi="Arial"/>
                <w:sz w:val="18"/>
                <w:szCs w:val="18"/>
                <w:b w:val="1"/>
                <w:bCs w:val="1"/>
                <w:color w:val="2B4C9B"/>
              </w:rPr>
              <w:t>30%</w:t>
            </w:r>
          </w:p>
        </w:tc>
        <w:tc>
          <w:tcPr>
            <w:tcW w:w="1840" w:type="dxa"/>
            <w:vAlign w:val="bottom"/>
          </w:tcPr>
          <w:p>
            <w:pPr>
              <w:jc w:val="right"/>
              <w:ind w:right="316"/>
              <w:spacing w:after="0"/>
              <w:rPr>
                <w:sz w:val="20"/>
                <w:szCs w:val="20"/>
                <w:color w:val="auto"/>
              </w:rPr>
            </w:pPr>
            <w:r>
              <w:rPr>
                <w:rFonts w:ascii="Arial" w:cs="Arial" w:eastAsia="Arial" w:hAnsi="Arial"/>
                <w:sz w:val="18"/>
                <w:szCs w:val="18"/>
                <w:color w:val="auto"/>
              </w:rPr>
              <w:t>33%</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6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Supply chain materials-related cost of revenues</w:t>
            </w:r>
          </w:p>
        </w:tc>
        <w:tc>
          <w:tcPr>
            <w:tcW w:w="1600" w:type="dxa"/>
            <w:vAlign w:val="bottom"/>
            <w:shd w:val="clear" w:color="auto" w:fill="CFF0FC"/>
          </w:tcPr>
          <w:p>
            <w:pPr>
              <w:jc w:val="right"/>
              <w:ind w:right="116"/>
              <w:spacing w:after="0"/>
              <w:rPr>
                <w:sz w:val="20"/>
                <w:szCs w:val="20"/>
                <w:color w:val="auto"/>
              </w:rPr>
            </w:pPr>
            <w:r>
              <w:rPr>
                <w:rFonts w:ascii="Arial" w:cs="Arial" w:eastAsia="Arial" w:hAnsi="Arial"/>
                <w:sz w:val="18"/>
                <w:szCs w:val="18"/>
                <w:b w:val="1"/>
                <w:bCs w:val="1"/>
                <w:color w:val="2B4C9B"/>
              </w:rPr>
              <w:t>15%</w:t>
            </w:r>
          </w:p>
        </w:tc>
        <w:tc>
          <w:tcPr>
            <w:tcW w:w="184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Other materials-related cost of revenues</w:t>
            </w:r>
          </w:p>
        </w:tc>
        <w:tc>
          <w:tcPr>
            <w:tcW w:w="1600" w:type="dxa"/>
            <w:vAlign w:val="bottom"/>
          </w:tcPr>
          <w:p>
            <w:pPr>
              <w:jc w:val="right"/>
              <w:ind w:right="116"/>
              <w:spacing w:after="0"/>
              <w:rPr>
                <w:sz w:val="20"/>
                <w:szCs w:val="20"/>
                <w:color w:val="auto"/>
              </w:rPr>
            </w:pPr>
            <w:r>
              <w:rPr>
                <w:rFonts w:ascii="Arial" w:cs="Arial" w:eastAsia="Arial" w:hAnsi="Arial"/>
                <w:sz w:val="18"/>
                <w:szCs w:val="18"/>
                <w:b w:val="1"/>
                <w:bCs w:val="1"/>
                <w:color w:val="2B4C9B"/>
              </w:rPr>
              <w:t>7%</w:t>
            </w:r>
          </w:p>
        </w:tc>
        <w:tc>
          <w:tcPr>
            <w:tcW w:w="1840" w:type="dxa"/>
            <w:vAlign w:val="bottom"/>
          </w:tcPr>
          <w:p>
            <w:pPr>
              <w:jc w:val="right"/>
              <w:ind w:right="316"/>
              <w:spacing w:after="0"/>
              <w:rPr>
                <w:sz w:val="20"/>
                <w:szCs w:val="20"/>
                <w:color w:val="auto"/>
              </w:rPr>
            </w:pPr>
            <w:r>
              <w:rPr>
                <w:rFonts w:ascii="Arial" w:cs="Arial" w:eastAsia="Arial" w:hAnsi="Arial"/>
                <w:sz w:val="18"/>
                <w:szCs w:val="18"/>
                <w:color w:val="auto"/>
              </w:rPr>
              <w:t>7%</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mix for fiscal 2019 and 2018 both reflect an increase in supply chain material content.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Liquidity and Capital Resources</w:t>
      </w:r>
    </w:p>
    <w:p>
      <w:pPr>
        <w:spacing w:after="0" w:line="2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As a services provider, our business generally requires minimal infrastructure investment. We expect to fund our ongoing working capital, commitments and any other discretionary investments with cash on hand, future operating cash flows and, if needed, borrowings under our $400 million Revolving Credit Facility.</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anticipate that our future cash needs will be for working capital, capital expenditures, and contractual and other commitments. We consider various financial measures when we develop and update our cash deployment strategy, which include evaluating cash provided by operating activities, free cash flow and financial leverage. When our cash generation enables us to exceed our target average minimum cash balance, we intend to deploy excess cash through dividends, share repurchases, debt prepayments or strategic acquisitions.</w:t>
      </w:r>
    </w:p>
    <w:p>
      <w:pPr>
        <w:spacing w:after="0" w:line="1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Upon the acquisition of Engility, we drew $1.1 billion on our committed five-year senior secured term loan facility, see Note 10 to the Consolidated Financial Statements. The proceeds were used to repay Engility's existing credit facility and outstanding notes. In addition, the Revolving Credit Facility increased by an additional $200 million upon the successful completion of the acquisition.</w:t>
      </w:r>
    </w:p>
    <w:p>
      <w:pPr>
        <w:spacing w:after="0" w:line="16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fund our short-term liquidity and long-term capital needs.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Borrowings under our Term Loan Facilities and, if used in the future, our Revolving Credit Facility incur interest at a variable rate. In accordance with our risk management objectives, we hold fixed interest rate swap agreements to hedge the variability in interest payment cash flows on a substantial portion of our outstanding variable rate debt. These instruments are accounted for as cash flow hedges. Under the swap agreements, we pay the fixed rate and the counterparties to the agreement pay a floating interest rate.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28</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Credit Facility contains customary terms and conditions including financial covenants and covenants restricting the Company's ability to merge or consolidate with another entity or undertake other fundamental changes, enter into property sale and leaseback transactions, and incur liens. The Company’s dividends and share repurchases may be limited under certain leverage ratios, and we may be required to make an annual debt prepayment based on our cash flows from operating activities. See Note 10 of the notes to the consolidated financial statements contained within this report for a more complete understanding of our Credit Facility.</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maintain credit ratings from major U.S. rating agencies. Failure to maintain acceptable ratings could have an adverse effect on the Company’s future cost of capital and any significant increase in the level of our borrowings could negatively impact these ratings.</w:t>
      </w:r>
    </w:p>
    <w:p>
      <w:pPr>
        <w:spacing w:after="0" w:line="15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During fiscal 2019 we repurchased approximately 0.5 million shares of our common stock for $ 40 million from the open market in connection with our existing share repurchase program. During fiscal 2018 we repurchased approximately 2.0 million shares for $150 million. Since the program’s inception in December of 2013 we have repurchased 9.6 million shares for $539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Historical Cash Flow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spacing w:after="0"/>
              <w:rPr>
                <w:sz w:val="15"/>
                <w:szCs w:val="15"/>
                <w:color w:val="auto"/>
              </w:rPr>
            </w:pPr>
          </w:p>
        </w:tc>
        <w:tc>
          <w:tcPr>
            <w:tcW w:w="28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96"/>
              <w:spacing w:after="0"/>
              <w:rPr>
                <w:sz w:val="20"/>
                <w:szCs w:val="20"/>
                <w:color w:val="auto"/>
              </w:rPr>
            </w:pPr>
            <w:r>
              <w:rPr>
                <w:rFonts w:ascii="Arial" w:cs="Arial" w:eastAsia="Arial" w:hAnsi="Arial"/>
                <w:sz w:val="14"/>
                <w:szCs w:val="14"/>
                <w:color w:val="auto"/>
              </w:rPr>
              <w:t>Year Ended</w:t>
            </w:r>
          </w:p>
        </w:tc>
        <w:tc>
          <w:tcPr>
            <w:tcW w:w="54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2B4C9B"/>
              </w:rPr>
              <w:t>February 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6"/>
        </w:trPr>
        <w:tc>
          <w:tcPr>
            <w:tcW w:w="7400" w:type="dxa"/>
            <w:vAlign w:val="bottom"/>
            <w:tcBorders>
              <w:bottom w:val="single" w:sz="8" w:color="2B4C9B"/>
            </w:tcBorders>
          </w:tcPr>
          <w:p>
            <w:pPr>
              <w:spacing w:after="0"/>
              <w:rPr>
                <w:sz w:val="17"/>
                <w:szCs w:val="17"/>
                <w:color w:val="auto"/>
              </w:rPr>
            </w:pPr>
          </w:p>
        </w:tc>
        <w:tc>
          <w:tcPr>
            <w:tcW w:w="26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2019</w:t>
            </w:r>
          </w:p>
        </w:tc>
        <w:tc>
          <w:tcPr>
            <w:tcW w:w="1380" w:type="dxa"/>
            <w:vAlign w:val="bottom"/>
            <w:tcBorders>
              <w:bottom w:val="single" w:sz="8" w:color="2B4C9B"/>
            </w:tcBorders>
            <w:gridSpan w:val="2"/>
          </w:tcPr>
          <w:p>
            <w:pPr>
              <w:jc w:val="right"/>
              <w:ind w:right="56"/>
              <w:spacing w:after="0"/>
              <w:rPr>
                <w:sz w:val="20"/>
                <w:szCs w:val="20"/>
                <w:color w:val="auto"/>
              </w:rPr>
            </w:pPr>
            <w:r>
              <w:rPr>
                <w:rFonts w:ascii="Arial" w:cs="Arial" w:eastAsia="Arial" w:hAnsi="Arial"/>
                <w:sz w:val="14"/>
                <w:szCs w:val="14"/>
                <w:color w:val="auto"/>
              </w:rPr>
              <w:t>February 2, 2018</w:t>
            </w:r>
          </w:p>
        </w:tc>
        <w:tc>
          <w:tcPr>
            <w:tcW w:w="1340" w:type="dxa"/>
            <w:vAlign w:val="bottom"/>
            <w:tcBorders>
              <w:bottom w:val="single" w:sz="8" w:color="2B4C9B"/>
            </w:tcBorders>
            <w:gridSpan w:val="2"/>
          </w:tcPr>
          <w:p>
            <w:pPr>
              <w:jc w:val="right"/>
              <w:ind w:right="10"/>
              <w:spacing w:after="0"/>
              <w:rPr>
                <w:sz w:val="20"/>
                <w:szCs w:val="20"/>
                <w:color w:val="auto"/>
              </w:rPr>
            </w:pPr>
            <w:r>
              <w:rPr>
                <w:rFonts w:ascii="Arial" w:cs="Arial" w:eastAsia="Arial" w:hAnsi="Arial"/>
                <w:sz w:val="14"/>
                <w:szCs w:val="14"/>
                <w:color w:val="auto"/>
              </w:rPr>
              <w:t>February 3, 2017</w:t>
            </w:r>
          </w:p>
        </w:tc>
      </w:tr>
      <w:tr>
        <w:trPr>
          <w:trHeight w:val="264"/>
        </w:trPr>
        <w:tc>
          <w:tcPr>
            <w:tcW w:w="7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184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217</w:t>
            </w:r>
          </w:p>
        </w:tc>
        <w:tc>
          <w:tcPr>
            <w:tcW w:w="54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273</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2B4C9B"/>
              </w:rPr>
              <w:t>(1,028)</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938</w:t>
            </w:r>
          </w:p>
        </w:tc>
        <w:tc>
          <w:tcPr>
            <w:tcW w:w="280" w:type="dxa"/>
            <w:vAlign w:val="bottom"/>
            <w:tcBorders>
              <w:bottom w:val="single" w:sz="8" w:color="2B4C9B"/>
            </w:tcBorders>
            <w:shd w:val="clear" w:color="auto" w:fill="CFF0FC"/>
          </w:tcPr>
          <w:p>
            <w:pPr>
              <w:spacing w:after="0"/>
              <w:rPr>
                <w:sz w:val="23"/>
                <w:szCs w:val="23"/>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540" w:type="dxa"/>
            <w:vAlign w:val="bottom"/>
            <w:tcBorders>
              <w:bottom w:val="single" w:sz="8" w:color="2B4C9B"/>
            </w:tcBorders>
            <w:shd w:val="clear" w:color="auto" w:fill="CFF0FC"/>
          </w:tcPr>
          <w:p>
            <w:pPr>
              <w:spacing w:after="0"/>
              <w:rPr>
                <w:sz w:val="23"/>
                <w:szCs w:val="23"/>
                <w:color w:val="auto"/>
              </w:rPr>
            </w:pPr>
          </w:p>
        </w:tc>
        <w:tc>
          <w:tcPr>
            <w:tcW w:w="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(247)</w:t>
            </w:r>
          </w:p>
        </w:tc>
      </w:tr>
      <w:tr>
        <w:trPr>
          <w:trHeight w:val="277"/>
        </w:trPr>
        <w:tc>
          <w:tcPr>
            <w:tcW w:w="7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increase (decrease) in cash, cash equivalents and restricted cash</w:t>
            </w:r>
          </w:p>
        </w:tc>
        <w:tc>
          <w:tcPr>
            <w:tcW w:w="2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Borders>
              <w:bottom w:val="single" w:sz="8" w:color="2B4C9B"/>
            </w:tcBorders>
          </w:tcPr>
          <w:p>
            <w:pPr>
              <w:jc w:val="right"/>
              <w:ind w:right="56"/>
              <w:spacing w:after="0"/>
              <w:rPr>
                <w:sz w:val="20"/>
                <w:szCs w:val="20"/>
                <w:color w:val="auto"/>
              </w:rPr>
            </w:pPr>
            <w:r>
              <w:rPr>
                <w:rFonts w:ascii="Arial" w:cs="Arial" w:eastAsia="Arial" w:hAnsi="Arial"/>
                <w:sz w:val="18"/>
                <w:szCs w:val="18"/>
                <w:b w:val="1"/>
                <w:bCs w:val="1"/>
                <w:color w:val="2B4C9B"/>
              </w:rPr>
              <w:t>94</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(66)</w:t>
            </w:r>
          </w:p>
        </w:tc>
        <w:tc>
          <w:tcPr>
            <w:tcW w:w="540" w:type="dxa"/>
            <w:vAlign w:val="bottom"/>
            <w:tcBorders>
              <w:bottom w:val="single" w:sz="8" w:color="2B4C9B"/>
            </w:tcBorders>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9</w:t>
            </w:r>
          </w:p>
        </w:tc>
      </w:tr>
    </w:tbl>
    <w:p>
      <w:pPr>
        <w:spacing w:after="0" w:line="15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2B4C9B"/>
        </w:rPr>
        <w:t xml:space="preserve">Cash Provided by Operating Activities. </w:t>
      </w:r>
      <w:r>
        <w:rPr>
          <w:rFonts w:ascii="Arial" w:cs="Arial" w:eastAsia="Arial" w:hAnsi="Arial"/>
          <w:sz w:val="18"/>
          <w:szCs w:val="18"/>
          <w:color w:val="000000"/>
        </w:rPr>
        <w:t>Refer to “Results of Operations” above for a discussion of the changes in cash provided by operating</w:t>
      </w:r>
      <w:r>
        <w:rPr>
          <w:rFonts w:ascii="Arial" w:cs="Arial" w:eastAsia="Arial" w:hAnsi="Arial"/>
          <w:sz w:val="18"/>
          <w:szCs w:val="18"/>
          <w:i w:val="1"/>
          <w:iCs w:val="1"/>
          <w:color w:val="2B4C9B"/>
        </w:rPr>
        <w:t xml:space="preserve"> </w:t>
      </w:r>
      <w:r>
        <w:rPr>
          <w:rFonts w:ascii="Arial" w:cs="Arial" w:eastAsia="Arial" w:hAnsi="Arial"/>
          <w:sz w:val="18"/>
          <w:szCs w:val="18"/>
          <w:color w:val="000000"/>
        </w:rPr>
        <w:t>activities between fiscal 2019 and fiscal 2018 and between fiscal 2018 and fiscal 2017.</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2B4C9B"/>
        </w:rPr>
        <w:t xml:space="preserve">Cash Used in Investing Activities. </w:t>
      </w:r>
      <w:r>
        <w:rPr>
          <w:rFonts w:ascii="Arial" w:cs="Arial" w:eastAsia="Arial" w:hAnsi="Arial"/>
          <w:sz w:val="18"/>
          <w:szCs w:val="18"/>
          <w:color w:val="000000"/>
        </w:rPr>
        <w:t>Cash used in investing activities increased in fiscal 2019 compared to the prior year period due to cash paid</w:t>
      </w:r>
      <w:r>
        <w:rPr>
          <w:rFonts w:ascii="Arial" w:cs="Arial" w:eastAsia="Arial" w:hAnsi="Arial"/>
          <w:sz w:val="18"/>
          <w:szCs w:val="18"/>
          <w:i w:val="1"/>
          <w:iCs w:val="1"/>
          <w:color w:val="2B4C9B"/>
        </w:rPr>
        <w:t xml:space="preserve"> </w:t>
      </w:r>
      <w:r>
        <w:rPr>
          <w:rFonts w:ascii="Arial" w:cs="Arial" w:eastAsia="Arial" w:hAnsi="Arial"/>
          <w:sz w:val="18"/>
          <w:szCs w:val="18"/>
          <w:color w:val="000000"/>
        </w:rPr>
        <w:t>for the acquisition of Engility and higher capital expenditures. Cash used in investing activities increased in fiscal 2018 compared to fiscal 2017, primarily due to higher capital expenditures.</w:t>
      </w:r>
    </w:p>
    <w:p>
      <w:pPr>
        <w:spacing w:after="0" w:line="13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2B4C9B"/>
        </w:rPr>
        <w:t xml:space="preserve">Cash Provided by/Used in Financing Activities. </w:t>
      </w:r>
      <w:r>
        <w:rPr>
          <w:rFonts w:ascii="Arial" w:cs="Arial" w:eastAsia="Arial" w:hAnsi="Arial"/>
          <w:sz w:val="18"/>
          <w:szCs w:val="18"/>
          <w:color w:val="000000"/>
        </w:rPr>
        <w:t>Cash provided by financing activities increased in fiscal 2019 compared to the prior year period</w:t>
      </w:r>
      <w:r>
        <w:rPr>
          <w:rFonts w:ascii="Arial" w:cs="Arial" w:eastAsia="Arial" w:hAnsi="Arial"/>
          <w:sz w:val="18"/>
          <w:szCs w:val="18"/>
          <w:i w:val="1"/>
          <w:iCs w:val="1"/>
          <w:color w:val="2B4C9B"/>
        </w:rPr>
        <w:t xml:space="preserve"> </w:t>
      </w:r>
      <w:r>
        <w:rPr>
          <w:rFonts w:ascii="Arial" w:cs="Arial" w:eastAsia="Arial" w:hAnsi="Arial"/>
          <w:sz w:val="18"/>
          <w:szCs w:val="18"/>
          <w:color w:val="000000"/>
        </w:rPr>
        <w:t>primarily due to proceeds from borrowings and lower share repurchases, partially offset by higher principal payments on borrowings.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Cash used in financing activities increased in fiscal 2018 compared to the prior year period primarily due to the change in classification of excess tax benefits from stock based compensation, from being classified as a financing activity in fiscal 2017 to an operating activity in fiscal 2018, as a result of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Off-Balance Sheet Arrangements</w:t>
      </w:r>
    </w:p>
    <w:p>
      <w:pPr>
        <w:spacing w:after="0" w:line="20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For an understanding of our obligations relating to surety bonds, see Note 15 of the notes to the consolidated financial statements contained within this report. For an understanding of our operating leases, see “Contractual Obligations” within this section and Note 13 of the notes to the consolidated financial statements contained within this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29</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Contractual Obligations</w:t>
      </w:r>
    </w:p>
    <w:p>
      <w:pPr>
        <w:spacing w:after="0" w:line="207" w:lineRule="exact"/>
        <w:rPr>
          <w:sz w:val="20"/>
          <w:szCs w:val="20"/>
          <w:color w:val="auto"/>
        </w:rPr>
      </w:pPr>
    </w:p>
    <w:p>
      <w:pPr>
        <w:ind w:right="1140"/>
        <w:spacing w:after="0" w:line="262" w:lineRule="auto"/>
        <w:rPr>
          <w:sz w:val="20"/>
          <w:szCs w:val="20"/>
          <w:color w:val="auto"/>
        </w:rPr>
      </w:pPr>
      <w:r>
        <w:rPr>
          <w:rFonts w:ascii="Arial" w:cs="Arial" w:eastAsia="Arial" w:hAnsi="Arial"/>
          <w:sz w:val="18"/>
          <w:szCs w:val="18"/>
          <w:color w:val="auto"/>
        </w:rPr>
        <w:t>The following table summarizes, as of February 1, 2019, our obligations to make future payments pursuant to certain contracts or arrangements and provides an estimate of the fiscal years in which these obligations are expected to be satisfied: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spacing w:after="0"/>
              <w:rPr>
                <w:sz w:val="15"/>
                <w:szCs w:val="15"/>
                <w:color w:val="auto"/>
              </w:rPr>
            </w:pPr>
          </w:p>
        </w:tc>
        <w:tc>
          <w:tcPr>
            <w:tcW w:w="580" w:type="dxa"/>
            <w:vAlign w:val="bottom"/>
            <w:tcBorders>
              <w:bottom w:val="single" w:sz="8" w:color="2B4C9B"/>
            </w:tcBorders>
          </w:tcPr>
          <w:p>
            <w:pPr>
              <w:spacing w:after="0"/>
              <w:rPr>
                <w:sz w:val="15"/>
                <w:szCs w:val="15"/>
                <w:color w:val="auto"/>
              </w:rPr>
            </w:pPr>
          </w:p>
        </w:tc>
        <w:tc>
          <w:tcPr>
            <w:tcW w:w="700" w:type="dxa"/>
            <w:vAlign w:val="bottom"/>
            <w:tcBorders>
              <w:bottom w:val="single" w:sz="8" w:color="2B4C9B"/>
            </w:tcBorders>
          </w:tcPr>
          <w:p>
            <w:pPr>
              <w:spacing w:after="0"/>
              <w:rPr>
                <w:sz w:val="15"/>
                <w:szCs w:val="15"/>
                <w:color w:val="auto"/>
              </w:rPr>
            </w:pPr>
          </w:p>
        </w:tc>
        <w:tc>
          <w:tcPr>
            <w:tcW w:w="198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color w:val="auto"/>
              </w:rPr>
              <w:t>Payments Due by Fiscal Year</w:t>
            </w:r>
          </w:p>
        </w:tc>
        <w:tc>
          <w:tcPr>
            <w:tcW w:w="88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64"/>
        </w:trPr>
        <w:tc>
          <w:tcPr>
            <w:tcW w:w="4420" w:type="dxa"/>
            <w:vAlign w:val="bottom"/>
            <w:tcBorders>
              <w:bottom w:val="single" w:sz="8" w:color="2B4C9B"/>
            </w:tcBorders>
          </w:tcPr>
          <w:p>
            <w:pPr>
              <w:spacing w:after="0"/>
              <w:rPr>
                <w:sz w:val="22"/>
                <w:szCs w:val="22"/>
                <w:color w:val="auto"/>
              </w:rPr>
            </w:pPr>
          </w:p>
        </w:tc>
        <w:tc>
          <w:tcPr>
            <w:tcW w:w="42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2B4C9B"/>
            </w:tcBorders>
          </w:tcPr>
          <w:p>
            <w:pPr>
              <w:spacing w:after="0"/>
              <w:rPr>
                <w:sz w:val="22"/>
                <w:szCs w:val="22"/>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2021-2022</w:t>
            </w:r>
          </w:p>
        </w:tc>
        <w:tc>
          <w:tcPr>
            <w:tcW w:w="500" w:type="dxa"/>
            <w:vAlign w:val="bottom"/>
            <w:tcBorders>
              <w:bottom w:val="single" w:sz="8" w:color="2B4C9B"/>
            </w:tcBorders>
          </w:tcPr>
          <w:p>
            <w:pPr>
              <w:spacing w:after="0"/>
              <w:rPr>
                <w:sz w:val="22"/>
                <w:szCs w:val="22"/>
                <w:color w:val="auto"/>
              </w:rPr>
            </w:pPr>
          </w:p>
        </w:tc>
        <w:tc>
          <w:tcPr>
            <w:tcW w:w="8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2023-2024</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2025 - Thereafter</w:t>
            </w:r>
          </w:p>
        </w:tc>
      </w:tr>
      <w:tr>
        <w:trPr>
          <w:trHeight w:val="258"/>
        </w:trPr>
        <w:tc>
          <w:tcPr>
            <w:tcW w:w="4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5"/>
        </w:trPr>
        <w:tc>
          <w:tcPr>
            <w:tcW w:w="4420" w:type="dxa"/>
            <w:vAlign w:val="bottom"/>
          </w:tcPr>
          <w:p>
            <w:pPr>
              <w:ind w:left="40"/>
              <w:spacing w:after="0"/>
              <w:rPr>
                <w:sz w:val="20"/>
                <w:szCs w:val="20"/>
                <w:color w:val="auto"/>
              </w:rPr>
            </w:pPr>
            <w:r>
              <w:rPr>
                <w:rFonts w:ascii="Arial" w:cs="Arial" w:eastAsia="Arial" w:hAnsi="Arial"/>
                <w:sz w:val="18"/>
                <w:szCs w:val="18"/>
                <w:color w:val="auto"/>
              </w:rPr>
              <w:t>Contractual obligations: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1"/>
                <w:szCs w:val="21"/>
                <w:color w:val="auto"/>
                <w:vertAlign w:val="superscript"/>
              </w:rPr>
              <w:t>(1)</w:t>
            </w:r>
          </w:p>
        </w:tc>
        <w:tc>
          <w:tcPr>
            <w:tcW w:w="4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2,115</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995</w:t>
            </w:r>
          </w:p>
        </w:tc>
      </w:tr>
      <w:tr>
        <w:trPr>
          <w:trHeight w:val="270"/>
        </w:trPr>
        <w:tc>
          <w:tcPr>
            <w:tcW w:w="4420" w:type="dxa"/>
            <w:vAlign w:val="bottom"/>
          </w:tcPr>
          <w:p>
            <w:pPr>
              <w:ind w:left="280"/>
              <w:spacing w:after="0"/>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479</w:t>
            </w: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4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obligations</w:t>
            </w:r>
          </w:p>
        </w:tc>
        <w:tc>
          <w:tcPr>
            <w:tcW w:w="42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211</w:t>
            </w:r>
          </w:p>
        </w:tc>
        <w:tc>
          <w:tcPr>
            <w:tcW w:w="58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FF0FC"/>
          </w:tcPr>
          <w:p>
            <w:pPr>
              <w:spacing w:after="0"/>
              <w:rPr>
                <w:sz w:val="23"/>
                <w:szCs w:val="23"/>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43</w:t>
            </w:r>
          </w:p>
        </w:tc>
      </w:tr>
      <w:tr>
        <w:trPr>
          <w:trHeight w:val="270"/>
        </w:trPr>
        <w:tc>
          <w:tcPr>
            <w:tcW w:w="4420" w:type="dxa"/>
            <w:vAlign w:val="bottom"/>
          </w:tcPr>
          <w:p>
            <w:pPr>
              <w:ind w:left="280"/>
              <w:spacing w:after="0"/>
              <w:rPr>
                <w:sz w:val="20"/>
                <w:szCs w:val="20"/>
                <w:color w:val="auto"/>
              </w:rPr>
            </w:pPr>
            <w:r>
              <w:rPr>
                <w:rFonts w:ascii="Arial" w:cs="Arial" w:eastAsia="Arial" w:hAnsi="Arial"/>
                <w:sz w:val="18"/>
                <w:szCs w:val="18"/>
                <w:color w:val="auto"/>
              </w:rPr>
              <w:t>Estimated purchase obligations</w:t>
            </w:r>
            <w:r>
              <w:rPr>
                <w:rFonts w:ascii="Arial" w:cs="Arial" w:eastAsia="Arial" w:hAnsi="Arial"/>
                <w:sz w:val="21"/>
                <w:szCs w:val="21"/>
                <w:color w:val="auto"/>
                <w:vertAlign w:val="superscript"/>
              </w:rPr>
              <w:t>(3)</w:t>
            </w:r>
          </w:p>
        </w:tc>
        <w:tc>
          <w:tcPr>
            <w:tcW w:w="4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0"/>
        </w:trPr>
        <w:tc>
          <w:tcPr>
            <w:tcW w:w="44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(4)</w:t>
            </w:r>
          </w:p>
        </w:tc>
        <w:tc>
          <w:tcPr>
            <w:tcW w:w="420" w:type="dxa"/>
            <w:vAlign w:val="bottom"/>
            <w:tcBorders>
              <w:bottom w:val="single" w:sz="8" w:color="2B4C9B"/>
            </w:tcBorders>
            <w:shd w:val="clear" w:color="auto" w:fill="CFF0FC"/>
          </w:tcPr>
          <w:p>
            <w:pPr>
              <w:spacing w:after="0"/>
              <w:rPr>
                <w:sz w:val="23"/>
                <w:szCs w:val="23"/>
                <w:color w:val="auto"/>
              </w:rPr>
            </w:pPr>
          </w:p>
        </w:tc>
        <w:tc>
          <w:tcPr>
            <w:tcW w:w="86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40</w:t>
            </w:r>
          </w:p>
        </w:tc>
        <w:tc>
          <w:tcPr>
            <w:tcW w:w="580" w:type="dxa"/>
            <w:vAlign w:val="bottom"/>
            <w:tcBorders>
              <w:bottom w:val="single" w:sz="8" w:color="2B4C9B"/>
            </w:tcBorders>
            <w:shd w:val="clear" w:color="auto" w:fill="CFF0FC"/>
          </w:tcPr>
          <w:p>
            <w:pPr>
              <w:spacing w:after="0"/>
              <w:rPr>
                <w:sz w:val="23"/>
                <w:szCs w:val="23"/>
                <w:color w:val="auto"/>
              </w:rPr>
            </w:pPr>
          </w:p>
        </w:tc>
        <w:tc>
          <w:tcPr>
            <w:tcW w:w="7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2B4C9B"/>
            </w:tcBorders>
            <w:shd w:val="clear" w:color="auto" w:fill="CFF0FC"/>
          </w:tcPr>
          <w:p>
            <w:pPr>
              <w:spacing w:after="0"/>
              <w:rPr>
                <w:sz w:val="23"/>
                <w:szCs w:val="23"/>
                <w:color w:val="auto"/>
              </w:rPr>
            </w:pPr>
          </w:p>
        </w:tc>
        <w:tc>
          <w:tcPr>
            <w:tcW w:w="8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18</w:t>
            </w:r>
          </w:p>
        </w:tc>
      </w:tr>
      <w:tr>
        <w:trPr>
          <w:trHeight w:val="271"/>
        </w:trPr>
        <w:tc>
          <w:tcPr>
            <w:tcW w:w="44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contractual obligations</w:t>
            </w:r>
          </w:p>
        </w:tc>
        <w:tc>
          <w:tcPr>
            <w:tcW w:w="42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2,943</w:t>
            </w:r>
          </w:p>
        </w:tc>
        <w:tc>
          <w:tcPr>
            <w:tcW w:w="58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Borders>
              <w:bottom w:val="single" w:sz="8" w:color="2B4C9B"/>
            </w:tcBorders>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406</w:t>
            </w:r>
          </w:p>
        </w:tc>
        <w:tc>
          <w:tcPr>
            <w:tcW w:w="50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1,155</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1,144</w:t>
            </w:r>
          </w:p>
        </w:tc>
      </w:tr>
    </w:tbl>
    <w:p>
      <w:pPr>
        <w:spacing w:after="0" w:line="110" w:lineRule="exact"/>
        <w:rPr>
          <w:sz w:val="20"/>
          <w:szCs w:val="20"/>
          <w:color w:val="auto"/>
        </w:rPr>
      </w:pPr>
    </w:p>
    <w:p>
      <w:pPr>
        <w:ind w:left="500" w:right="140" w:hanging="492"/>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amounts presented are based on an anticipated loan repayment schedule. However, we may be required to make certain mandatory prepayments based on our level of cash flow generation and we also have the option to prepay loan principal amounts at any time.</w:t>
      </w:r>
    </w:p>
    <w:p>
      <w:pPr>
        <w:ind w:left="500" w:right="100" w:hanging="492"/>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include an estimate of future variable interest payments on the Term Loan Facilities based on scheduled outstanding principal amounts, current applicable margin and projected 1-month LIBOR as of February 1, 2019. The amounts presented in this table exclude the effects of interest rate swaps used to hedge against changes in 1-month LIBOR.</w:t>
      </w:r>
    </w:p>
    <w:p>
      <w:pPr>
        <w:spacing w:after="0" w:line="1" w:lineRule="exact"/>
        <w:rPr>
          <w:rFonts w:ascii="Arial" w:cs="Arial" w:eastAsia="Arial" w:hAnsi="Arial"/>
          <w:sz w:val="16"/>
          <w:szCs w:val="16"/>
          <w:color w:val="auto"/>
        </w:rPr>
      </w:pPr>
    </w:p>
    <w:p>
      <w:pPr>
        <w:jc w:val="both"/>
        <w:ind w:left="500" w:right="140" w:hanging="492"/>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estimated obligations to transfer funds under legally enforceable agreements for fixed or minimum amounts or quantities of goods or services at fixed or minimum prices. Excludes purchase orders for services or products to be delivered pursuant to U.S. government contracts in which we have full recourse under normal contract termination clauses.</w:t>
      </w:r>
    </w:p>
    <w:p>
      <w:pPr>
        <w:spacing w:after="0" w:line="1" w:lineRule="exact"/>
        <w:rPr>
          <w:rFonts w:ascii="Arial" w:cs="Arial" w:eastAsia="Arial" w:hAnsi="Arial"/>
          <w:sz w:val="16"/>
          <w:szCs w:val="16"/>
          <w:color w:val="auto"/>
        </w:rPr>
      </w:pPr>
    </w:p>
    <w:p>
      <w:pPr>
        <w:ind w:left="500" w:right="240" w:hanging="492"/>
        <w:spacing w:after="0" w:line="25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long-term liabilities primarily consist of liabilities associated with deferred compensation plan obligations, and liabilities for unrecognized tax benefits. Deferred compensation plan obligations have been allocated to fiscal years based on participants’ payment elections on retirement and estimated retirement ages, but is subject to acceleration on participants’ termination of employment prior to retirement. Liabilities for unrecognized tax benefits are allocated to the fiscal years in which the statute of limitations is currently expected to expire.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Commitments and Contingencies</w:t>
      </w:r>
    </w:p>
    <w:p>
      <w:pPr>
        <w:spacing w:after="0" w:line="2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see Note 15 of the notes to the consolidated financial statements contained within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Critical Accounting Policies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are prepared in accordance with U.S. generally accepted accounting principles. The preparation of these financial statements requires management to make estimates and assumptions that affect the reported amounts of assets and liabilities and the disclosure of contingencies, as well as the reported amounts of revenues, expenses, gains and losses during the reporting periods. Management evaluates these estimates and assumptions on an ongoing basis. Our estimates and assumptions have been prepared on the basis of the most current reasonably available information and, in some cases, are our basis for making judgments about the carrying values of assets and liabilities that are not readily apparent from other sources. Estimates and assumptions may change in the future as more current information is available.</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These policies are described below.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30</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2B4C9B"/>
        </w:rPr>
        <w:t xml:space="preserve">Revenue Recognition. </w:t>
      </w:r>
      <w:r>
        <w:rPr>
          <w:rFonts w:ascii="Arial" w:cs="Arial" w:eastAsia="Arial" w:hAnsi="Arial"/>
          <w:sz w:val="18"/>
          <w:szCs w:val="18"/>
          <w:color w:val="000000"/>
        </w:rPr>
        <w:t>We generate our revenues primarily from long-term contracts in which we provide technical, engineering and enterprise</w:t>
      </w:r>
      <w:r>
        <w:rPr>
          <w:rFonts w:ascii="Arial" w:cs="Arial" w:eastAsia="Arial" w:hAnsi="Arial"/>
          <w:sz w:val="18"/>
          <w:szCs w:val="18"/>
          <w:i w:val="1"/>
          <w:iCs w:val="1"/>
          <w:color w:val="2B4C9B"/>
        </w:rPr>
        <w:t xml:space="preserve"> </w:t>
      </w:r>
      <w:r>
        <w:rPr>
          <w:rFonts w:ascii="Arial" w:cs="Arial" w:eastAsia="Arial" w:hAnsi="Arial"/>
          <w:sz w:val="18"/>
          <w:szCs w:val="18"/>
          <w:color w:val="000000"/>
        </w:rPr>
        <w:t>IT services directly for the U.S. government and as a subcontractor with other contractors engaged in work for the U.S. government. We evaluate the nature of the contract and the services provided when determining the accounting method utilized for each contract. We recognize a significant portion of our revenues using a cost input measure of progress that requires us to rely on the skill and expertise of our engineers, program managers and business management professionals in the many areas of cost estimation. These estimates of costs can span several years and take into account many factors including the availability, productivity and cost of labor, potential delays in our performance and the level of future indirect cost allocations.</w:t>
      </w:r>
    </w:p>
    <w:p>
      <w:pPr>
        <w:spacing w:after="0" w:line="16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We provide for anticipated losses on long-term production type contracts and service contracts with the U.S. government by recording an expense for the total expected contract loss during the period when the loss is determined. Contract costs incurred for U.S. government contracts (including allocated indirect costs) are subject to audit and adjustment through negotiations with government representatives. Revenues on U.S. government contracts have been recorded in amounts that are expected to be realized on final settlement.</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contracts include forms of variable consideration such as reimbursable costs, award and incentive fees, usage-based pricing, service-level penalties, performance bonuses, and other provisions that can either increase or decrease the transaction price. Variable amounts generally are determined upon our achievement of certain performance metrics, program milestones or cost targets and may be based upon customer discretion. At contract inception, we estimate the transaction price and may include variable consideration in the transaction price only to the extent it is probable that a significant reversal of cumulative revenue recognized will not occur when the uncertainty associated with the variable consideration is resolved. When developing these estimates, we consider the customer, contract terms, the complexity of the work and related risks, the extent of customer discretion, historical experience and the potential of a significant reversal of revenue.</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2B4C9B"/>
        </w:rPr>
        <w:t xml:space="preserve">Changes in Estimates on Contracts. </w:t>
      </w:r>
      <w:r>
        <w:rPr>
          <w:rFonts w:ascii="Arial" w:cs="Arial" w:eastAsia="Arial" w:hAnsi="Arial"/>
          <w:sz w:val="18"/>
          <w:szCs w:val="18"/>
          <w:color w:val="000000"/>
        </w:rPr>
        <w:t>Changes in estimates of revenues, cost of revenues or profits related to performance obligations satisfied</w:t>
      </w:r>
      <w:r>
        <w:rPr>
          <w:rFonts w:ascii="Arial" w:cs="Arial" w:eastAsia="Arial" w:hAnsi="Arial"/>
          <w:sz w:val="18"/>
          <w:szCs w:val="18"/>
          <w:i w:val="1"/>
          <w:iCs w:val="1"/>
          <w:color w:val="2B4C9B"/>
        </w:rPr>
        <w:t xml:space="preserve"> </w:t>
      </w:r>
      <w:r>
        <w:rPr>
          <w:rFonts w:ascii="Arial" w:cs="Arial" w:eastAsia="Arial" w:hAnsi="Arial"/>
          <w:sz w:val="18"/>
          <w:szCs w:val="18"/>
          <w:color w:val="000000"/>
        </w:rPr>
        <w:t>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Aggregate changes in contract estimates increased operating income by $17 million for fiscal 2019, decreased operating income by $3 million for fiscal 2018 and increased operating income by $22 million for fiscal 2017. For additional information related to changes in estimates on contracts, including gross favorable and unfavorable adjustments as well as the impact to earnings per share, see Note 3 of the notes to the consolidated financial statements contained within this report.</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2B4C9B"/>
        </w:rPr>
        <w:t xml:space="preserve">Business Combinations. </w:t>
      </w:r>
      <w:r>
        <w:rPr>
          <w:rFonts w:ascii="Arial" w:cs="Arial" w:eastAsia="Arial" w:hAnsi="Arial"/>
          <w:sz w:val="18"/>
          <w:szCs w:val="18"/>
          <w:color w:val="000000"/>
        </w:rPr>
        <w:t>We record all tangible and intangible assets acquired and liabilities assumed in a business combination at fair value as</w:t>
      </w:r>
      <w:r>
        <w:rPr>
          <w:rFonts w:ascii="Arial" w:cs="Arial" w:eastAsia="Arial" w:hAnsi="Arial"/>
          <w:sz w:val="18"/>
          <w:szCs w:val="18"/>
          <w:i w:val="1"/>
          <w:iCs w:val="1"/>
          <w:color w:val="2B4C9B"/>
        </w:rPr>
        <w:t xml:space="preserve"> </w:t>
      </w:r>
      <w:r>
        <w:rPr>
          <w:rFonts w:ascii="Arial" w:cs="Arial" w:eastAsia="Arial" w:hAnsi="Arial"/>
          <w:sz w:val="18"/>
          <w:szCs w:val="18"/>
          <w:color w:val="000000"/>
        </w:rPr>
        <w:t>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we may adjust provisional amounts recorded for assets acquired and liabilities assumed to reflect new information that we have subsequently obtained regarding facts and circumstances that existed as of the acquisition date.</w:t>
      </w:r>
    </w:p>
    <w:p>
      <w:pPr>
        <w:spacing w:after="0" w:line="16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Acquisition -related costs that are not part of the purchase price consideration are expensed as incurred, except for certain costs that are deferred in connection with the issuance of debt or stock. These costs typically include transaction-related costs, such as finder’s fees, and legal, accounting and other professional costs.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31</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2B4C9B"/>
        </w:rPr>
        <w:t xml:space="preserve">Goodwill and Intangible Assets. </w:t>
      </w:r>
      <w:r>
        <w:rPr>
          <w:rFonts w:ascii="Arial" w:cs="Arial" w:eastAsia="Arial" w:hAnsi="Arial"/>
          <w:sz w:val="18"/>
          <w:szCs w:val="18"/>
          <w:color w:val="000000"/>
        </w:rPr>
        <w:t>Goodwill is recorded as the difference between the aggregate consideration paid for an acquisition and the fair</w:t>
      </w:r>
      <w:r>
        <w:rPr>
          <w:rFonts w:ascii="Arial" w:cs="Arial" w:eastAsia="Arial" w:hAnsi="Arial"/>
          <w:sz w:val="18"/>
          <w:szCs w:val="18"/>
          <w:i w:val="1"/>
          <w:iCs w:val="1"/>
          <w:color w:val="2B4C9B"/>
        </w:rPr>
        <w:t xml:space="preserve"> </w:t>
      </w:r>
      <w:r>
        <w:rPr>
          <w:rFonts w:ascii="Arial" w:cs="Arial" w:eastAsia="Arial" w:hAnsi="Arial"/>
          <w:sz w:val="18"/>
          <w:szCs w:val="18"/>
          <w:color w:val="000000"/>
        </w:rPr>
        <w:t>value of the net tangible and intangible assets acquired and liabilities assumed. Goodwill is not amortized, but rather tested for potential impairment annually at the beginning of the fourth quarter, or whenever events or changes in circumstances indicate that the carrying value may not be recoverable.</w:t>
      </w:r>
    </w:p>
    <w:p>
      <w:pPr>
        <w:spacing w:after="0" w:line="15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Determining the fair value of each reporting unit involves judgment and the use of estimates and assumptions. We estimate the fair value of our reporting units using either a market approach, income approach, or a combination of both. For our annual impairment analysis, we reconcile the aggregate fair value of all of our reporting units to our market capitalization as of the measurement date.</w:t>
      </w:r>
    </w:p>
    <w:p>
      <w:pPr>
        <w:spacing w:after="0" w:line="16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Under the income approach, we estimate the fair value of a reporting unit using a multi-year discounted cash flow model that involves assumptions about projected future revenue growth, operating margins, income tax rates, capital expenditures, discount rate and terminal value. The discount rate is an estimate of the cost of capital that a market participant would expect for the respective reporting unit. The terminal value represents the present value in the last year of the projection period of all subsequent cash flows into perpetuity.</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market approach, we estimate the fair value of a reporting unit based on multiples of earnings derived from observable market data of comparable public companies. We evaluate companies within our industry that have operations with observable and comparable economic characteristics and are similar in nature, scope and size to the reporting unit being compared. We analyze historical acquisitions in our industry to estimate a control premium that we incorporate into the fair value estimate of a reporting unit under the market approach.</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fourth quarter of fiscal 2019, we completed our annual goodwill impairment testing and determined that each reporting unit's fair value significantly exceeded its carrying value. Subsequent to our goodwill impairment testing, on January 14, 2019 we completed the acquisition of Engility. Since the acquisition there have been no events or changes in circumstances to indicate that the carrying value may not be recoverable.</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determining the carrying value of each reporting unit requires judgment and involves the assignment of assets and liabilities to the reporting units based on a systematic and rational allocation methodology. Certain assets and liabilities may be specifically identified and assigned to a reporting unit based on the information contained within our financial systems; whereas, other assets and liabilities may be allocated using measurable relationships or other basis for allocation.</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43"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2B4C9B"/>
        </w:rPr>
        <w:t xml:space="preserve">Income Taxes. </w:t>
      </w:r>
      <w:r>
        <w:rPr>
          <w:rFonts w:ascii="Arial" w:cs="Arial" w:eastAsia="Arial" w:hAnsi="Arial"/>
          <w:sz w:val="18"/>
          <w:szCs w:val="18"/>
          <w:color w:val="000000"/>
        </w:rPr>
        <w:t>Our income tax expense, deferred tax assets and liabilities, and liabilities for unrecognized tax benefits reflect our best estimate</w:t>
      </w:r>
      <w:r>
        <w:rPr>
          <w:rFonts w:ascii="Arial" w:cs="Arial" w:eastAsia="Arial" w:hAnsi="Arial"/>
          <w:sz w:val="18"/>
          <w:szCs w:val="18"/>
          <w:i w:val="1"/>
          <w:iCs w:val="1"/>
          <w:color w:val="2B4C9B"/>
        </w:rPr>
        <w:t xml:space="preserve"> </w:t>
      </w:r>
      <w:r>
        <w:rPr>
          <w:rFonts w:ascii="Arial" w:cs="Arial" w:eastAsia="Arial" w:hAnsi="Arial"/>
          <w:sz w:val="18"/>
          <w:szCs w:val="18"/>
          <w:color w:val="000000"/>
        </w:rPr>
        <w:t>of current and future taxes to be paid and includes judgments related to matters for which ultimate resolution may not become known until the final resolution of an examination by taxing authorities or the statute of limitations lapses.</w:t>
      </w:r>
    </w:p>
    <w:p>
      <w:pPr>
        <w:spacing w:after="0" w:line="3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this determination, we consider all available positive and negative evidence, including future reversals of existing taxable temporary differences, projected future taxable income, tax planning strategies and recent operating results.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either decrease or increase, respectively, the provision for income taxes.</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Tax Cuts and Jobs Act (the “Tax Act”) was enacted on December 22, 2017, which amends the Internal Revenue Code to reduce tax rates and modify policies, credits, and deductions for individuals and businesses. The SEC staff issued Staff Accounting Bulletin No 118 (“SAB 118”), which allows us to record provisional amounts during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32</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measurement period not to extend beyond one year of the enactment date. As of February 1, 2019, we have completed our accounting for the tax effects of enactment of the Tax Act. Prior to February 1, 2019, there were two areas still under review including: (1) the expensing of qualified assets and (2) the limitation on the deductibility of certain executive compensation. No material measurement period adjustments were required as a result of this review.</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recognize liabilities for uncertainty in income taxes when it is more likely than not that a tax position will not be sustained on examination and settlement with various taxing authorities. Liabilities for any uncertainty in income taxes are measured based on our estimate of the largest amount of benefit that is greater than 50% likely of being realized on ultimate settlement.</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2B4C9B"/>
        </w:rPr>
        <w:t xml:space="preserve">Stock-Based Compensation. </w:t>
      </w:r>
      <w:r>
        <w:rPr>
          <w:rFonts w:ascii="Arial" w:cs="Arial" w:eastAsia="Arial" w:hAnsi="Arial"/>
          <w:sz w:val="18"/>
          <w:szCs w:val="18"/>
          <w:color w:val="000000"/>
        </w:rPr>
        <w:t>We issue stock-based awards, including stock options, vesting stock awards and performance share awards as</w:t>
      </w:r>
      <w:r>
        <w:rPr>
          <w:rFonts w:ascii="Arial" w:cs="Arial" w:eastAsia="Arial" w:hAnsi="Arial"/>
          <w:sz w:val="18"/>
          <w:szCs w:val="18"/>
          <w:i w:val="1"/>
          <w:iCs w:val="1"/>
          <w:color w:val="2B4C9B"/>
        </w:rPr>
        <w:t xml:space="preserve"> </w:t>
      </w:r>
      <w:r>
        <w:rPr>
          <w:rFonts w:ascii="Arial" w:cs="Arial" w:eastAsia="Arial" w:hAnsi="Arial"/>
          <w:sz w:val="18"/>
          <w:szCs w:val="18"/>
          <w:color w:val="000000"/>
        </w:rPr>
        <w:t>compensation to employees and directors. These awards are accounted for as equity awards. We recognize stock-based compensation expense net of estimated forfeitures on a straight-line basis over the underlying award’s requisite service period, as measured using the award’s grant date fair value. For performance share awards, we reassess the probability of achieving the performance conditions at each reporting period and adjust compensation expense based on the number of shares we expect to ultimately issue. Absent sufficient history as a stand-alone company, we estimate forfeitures using former Parent’s historical experience.</w:t>
      </w:r>
    </w:p>
    <w:p>
      <w:pPr>
        <w:spacing w:after="0" w:line="1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use the Black-Scholes option-pricing model to calculate the grant date fair value of stock options awarded. The model calculates the fair value based on input assumptions about, among other things, employee exercise behavior and the expected volatility of our common stock. The assumptions used in the model represent our best estimates, but these estimates involve inherent uncertainties and the application of judgment. As a result, if factors change and we use different assumptions, our stock-based compensation expense could be materially different in the future. In addition, we are required to estimate the expected forfeiture rate and recognize expense only for those awards expected to vest. If our actual forfeiture rate is materially different from our estimate, the stock-based compensation expense could be significantly different from what we have recorded over the awards’ respective service periods. For further discussion on the assumptions used, see Note 7 of the notes to the consolidated financial statements contained within this report.</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2B4C9B"/>
        </w:rPr>
        <w:t xml:space="preserve">Pension and Defined Benefit Plans. </w:t>
      </w:r>
      <w:r>
        <w:rPr>
          <w:rFonts w:ascii="Arial" w:cs="Arial" w:eastAsia="Arial" w:hAnsi="Arial"/>
          <w:sz w:val="18"/>
          <w:szCs w:val="18"/>
          <w:color w:val="000000"/>
        </w:rPr>
        <w:t>The Company measures plan assets and benefit obligations as of the month-end that is closest to its fiscal</w:t>
      </w:r>
      <w:r>
        <w:rPr>
          <w:rFonts w:ascii="Arial" w:cs="Arial" w:eastAsia="Arial" w:hAnsi="Arial"/>
          <w:sz w:val="18"/>
          <w:szCs w:val="18"/>
          <w:i w:val="1"/>
          <w:iCs w:val="1"/>
          <w:color w:val="2B4C9B"/>
        </w:rPr>
        <w:t xml:space="preserve"> </w:t>
      </w:r>
      <w:r>
        <w:rPr>
          <w:rFonts w:ascii="Arial" w:cs="Arial" w:eastAsia="Arial" w:hAnsi="Arial"/>
          <w:sz w:val="18"/>
          <w:szCs w:val="18"/>
          <w:color w:val="000000"/>
        </w:rPr>
        <w:t>year end. Accounting and reporting for the Company's pension and defined benefit plans requires the use of assumptions, including but not limited to, a discount rate and an expected return on assets. These assumptions are reviewed at least annually based on reviews of current plan information and consultation with the Company's independent actuary and the plans’ investment advisor. If these assumptions differ materially from actual results, the Company's obligations under the pension and defined benefit plans could also differ materially, potentially requiring the Company to record an additional liability. The Company's pension and defined benefit plan liabilities are developed from actuarial valuations, which are performed each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Recently Issued But Not Yet Adopted Accounting Pronouncements</w:t>
      </w:r>
    </w:p>
    <w:p>
      <w:pPr>
        <w:spacing w:after="0" w:line="16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information on recently issued but not yet adopted accounting pronouncements, see Note 1 of the notes to the consolidated financial statements contained within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Effects of Inflation</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any of the most recent three fiscal years ended February 1, 2019, inflation has not had a significant impact on revenues or costs. Most of our contracts are paid in U.S. dollars and our cost to perform on these contracts are generally paid in U.S. dollars, so inflation risk is generally limited to that which is related to the U.S. dollar. Approximately 50% of our revenues for fiscal 2019 were derived from cost-reimbursement type contracts, which have limited inflation risk because our contracts generally entail the provision of labor on a reimbursable basis, and, when materials are acquired, they provide for billing to the customer during the period in which the materials were received. Bids for longer-term FFP and T&amp;M contracts typically include sufficient provisions for labor and other cost escalations to cover anticipated cost increases over the period of performance. As a result, if we were to experience significant levels of inflation, our revenues and costs for cost-type contracts would generally both increase commensurate with inflation and operating income as a percentage of total revenues would not be significantly affected. Operating income as a percentage of total revenues would not be significantly affected for longer-term FFP and T&amp;M contracts to the extent that bid contract cost escalations are sufficient to cover heightened inflation levels.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33</w:t>
      </w:r>
    </w:p>
    <w:p>
      <w:pPr>
        <w:sectPr>
          <w:pgSz w:w="11900" w:h="16838" w:orient="portrait"/>
          <w:cols w:equalWidth="0" w:num="1">
            <w:col w:w="11400"/>
          </w:cols>
          <w:pgMar w:left="240" w:top="141" w:right="259" w:bottom="1440" w:gutter="0" w:footer="0" w:header="0"/>
        </w:sectPr>
      </w:pPr>
    </w:p>
    <w:bookmarkStart w:id="35" w:name="page36"/>
    <w:bookmarkEnd w:id="3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7A. </w:t>
      </w:r>
      <w:r>
        <w:rPr>
          <w:rFonts w:ascii="Arial" w:cs="Arial" w:eastAsia="Arial" w:hAnsi="Arial"/>
          <w:sz w:val="18"/>
          <w:szCs w:val="18"/>
          <w:b w:val="1"/>
          <w:bCs w:val="1"/>
          <w:i w:val="1"/>
          <w:iCs w:val="1"/>
          <w:color w:val="2B4C9B"/>
        </w:rPr>
        <w:t>Quantitative and Qualitative Disclosures About Market Risk</w:t>
      </w:r>
    </w:p>
    <w:p>
      <w:pPr>
        <w:spacing w:after="0" w:line="166"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We are exposed to certain market risks in the normal course of business. The following information about our market sensitive financial instruments contains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Foreign Currency Risk</w:t>
      </w:r>
    </w:p>
    <w:p>
      <w:pPr>
        <w:spacing w:after="0" w:line="16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Since the substantial majority of our business is conducted in U.S. dollars, a 10% change in any foreign currency exchange rates would not have a material impact to our financial condition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Interest Rate Risk</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2B4C9B"/>
        </w:rPr>
        <w:t xml:space="preserve">Debt obligations. </w:t>
      </w:r>
      <w:r>
        <w:rPr>
          <w:rFonts w:ascii="Arial" w:cs="Arial" w:eastAsia="Arial" w:hAnsi="Arial"/>
          <w:sz w:val="18"/>
          <w:szCs w:val="18"/>
          <w:color w:val="000000"/>
        </w:rPr>
        <w:t>Our financial risk management objective is to reduce variability in earnings from changes in interest rates, which we may</w:t>
      </w:r>
      <w:r>
        <w:rPr>
          <w:rFonts w:ascii="Arial" w:cs="Arial" w:eastAsia="Arial" w:hAnsi="Arial"/>
          <w:sz w:val="18"/>
          <w:szCs w:val="18"/>
          <w:i w:val="1"/>
          <w:iCs w:val="1"/>
          <w:color w:val="2B4C9B"/>
        </w:rPr>
        <w:t xml:space="preserve"> </w:t>
      </w:r>
      <w:r>
        <w:rPr>
          <w:rFonts w:ascii="Arial" w:cs="Arial" w:eastAsia="Arial" w:hAnsi="Arial"/>
          <w:sz w:val="18"/>
          <w:szCs w:val="18"/>
          <w:color w:val="000000"/>
        </w:rPr>
        <w:t>manage through operational means or the use of financial instruments, such as interest rate swaps. We have approximately $2.1 billion of variable rate debt. The fair value of our outstanding long-term debt obligations approximates its carrying value. In connection with the issuances of our variable rate Term Loan A and Term Loan B Facilities, we entered into fixed interest rate swap agreements, effectively converting a substantial portion of our variable rate debt to fixed rate debt in order to mitigate our exposure to fluctuations in interest rates. We regularly evaluate our outstanding debt and swap agreements to meet our risk management objective. A hypothetical 50 basis points (bps) change to interest rates would not materially change our results of operations or cash flows. For additional information related to our debt and interest rate swap agreements, see Note 10 and Note 11, respectively, of the notes to the consolidated financial statements contained in this report.</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2B4C9B"/>
        </w:rPr>
        <w:t xml:space="preserve">Derivatives. </w:t>
      </w:r>
      <w:r>
        <w:rPr>
          <w:rFonts w:ascii="Arial" w:cs="Arial" w:eastAsia="Arial" w:hAnsi="Arial"/>
          <w:sz w:val="18"/>
          <w:szCs w:val="18"/>
          <w:color w:val="000000"/>
        </w:rPr>
        <w:t>As of February 1, 2019, the fair value of our fixed interest rate swaps was $24 million (liability). Under the swap agreements, we</w:t>
      </w:r>
      <w:r>
        <w:rPr>
          <w:rFonts w:ascii="Arial" w:cs="Arial" w:eastAsia="Arial" w:hAnsi="Arial"/>
          <w:sz w:val="18"/>
          <w:szCs w:val="18"/>
          <w:i w:val="1"/>
          <w:iCs w:val="1"/>
          <w:color w:val="2B4C9B"/>
        </w:rPr>
        <w:t xml:space="preserve"> </w:t>
      </w:r>
      <w:r>
        <w:rPr>
          <w:rFonts w:ascii="Arial" w:cs="Arial" w:eastAsia="Arial" w:hAnsi="Arial"/>
          <w:sz w:val="18"/>
          <w:szCs w:val="18"/>
          <w:color w:val="000000"/>
        </w:rPr>
        <w:t>pay a fixed rate and the counterparties to the agreements pay a floating interest rate based on 1-month LIBOR. A hypothetical 50 bps change in the 1-month LIBOR curve would change the fair value of the fixed interest rate swaps up to $33 million. Since the interest rate swaps are accounted for as cash flow hedges, the change in fair value is reported as a component of equity (accumulated other comprehensive income or loss). We do not hold or issue derivative financial instruments for trading or speculative purposes. For additional information related to calculating the fair value of our interest rate swaps, see Note 11 of the consolidated financial statements included in this report.</w:t>
      </w:r>
    </w:p>
    <w:p>
      <w:pPr>
        <w:spacing w:after="0" w:line="31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2B4C9B"/>
        </w:rPr>
        <w:t xml:space="preserve">Cash equivalents. </w:t>
      </w:r>
      <w:r>
        <w:rPr>
          <w:rFonts w:ascii="Arial" w:cs="Arial" w:eastAsia="Arial" w:hAnsi="Arial"/>
          <w:sz w:val="18"/>
          <w:szCs w:val="18"/>
          <w:color w:val="000000"/>
        </w:rPr>
        <w:t>A 10% unfavorable interest rate movement for interest earned on our cash and cash equivalents would not materially impact</w:t>
      </w:r>
      <w:r>
        <w:rPr>
          <w:rFonts w:ascii="Arial" w:cs="Arial" w:eastAsia="Arial" w:hAnsi="Arial"/>
          <w:sz w:val="18"/>
          <w:szCs w:val="18"/>
          <w:i w:val="1"/>
          <w:iCs w:val="1"/>
          <w:color w:val="2B4C9B"/>
        </w:rPr>
        <w:t xml:space="preserve"> </w:t>
      </w:r>
      <w:r>
        <w:rPr>
          <w:rFonts w:ascii="Arial" w:cs="Arial" w:eastAsia="Arial" w:hAnsi="Arial"/>
          <w:sz w:val="18"/>
          <w:szCs w:val="18"/>
          <w:color w:val="000000"/>
        </w:rPr>
        <w:t>the value of our cash holdings and would have a negligible impact on interest income at current market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Inflation Risk</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FFP contracts typically include labor and other cost escalations in amounts that historically have been sufficient to cover cost increases over the period of contract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8. </w:t>
      </w:r>
      <w:r>
        <w:rPr>
          <w:rFonts w:ascii="Arial" w:cs="Arial" w:eastAsia="Arial" w:hAnsi="Arial"/>
          <w:sz w:val="18"/>
          <w:szCs w:val="18"/>
          <w:b w:val="1"/>
          <w:bCs w:val="1"/>
          <w:i w:val="1"/>
          <w:iCs w:val="1"/>
          <w:color w:val="2B4C9B"/>
        </w:rPr>
        <w:t>Financial Statements and Supplementary Data</w:t>
      </w:r>
    </w:p>
    <w:p>
      <w:pPr>
        <w:spacing w:after="0" w:line="20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our consolidated financial statements attached hereto and listed on the index found on page </w:t>
      </w:r>
      <w:hyperlink w:anchor="page46">
        <w:r>
          <w:rPr>
            <w:rFonts w:ascii="Arial" w:cs="Arial" w:eastAsia="Arial" w:hAnsi="Arial"/>
            <w:sz w:val="18"/>
            <w:szCs w:val="18"/>
            <w:u w:val="single" w:color="auto"/>
            <w:color w:val="0000EE"/>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 </w:t>
      </w:r>
      <w:r>
        <w:rPr>
          <w:rFonts w:ascii="Arial" w:cs="Arial" w:eastAsia="Arial" w:hAnsi="Arial"/>
          <w:sz w:val="18"/>
          <w:szCs w:val="18"/>
          <w:b w:val="1"/>
          <w:bCs w:val="1"/>
          <w:i w:val="1"/>
          <w:iCs w:val="1"/>
          <w:color w:val="2B4C9B"/>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9A. </w:t>
      </w:r>
      <w:r>
        <w:rPr>
          <w:rFonts w:ascii="Arial" w:cs="Arial" w:eastAsia="Arial" w:hAnsi="Arial"/>
          <w:sz w:val="18"/>
          <w:szCs w:val="18"/>
          <w:b w:val="1"/>
          <w:bCs w:val="1"/>
          <w:i w:val="1"/>
          <w:iCs w:val="1"/>
          <w:color w:val="2B4C9B"/>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Evaluation of Disclosure Controls and Procedures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Chief Financial Officer), has evaluated the effectiveness of our disclosure controls and procedures (as defined in Rules 13a-15(e) and 15d-15(e) under the Securities Exchange Act of 1934) as of February 1, 2019,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34</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Changes in Internal Control Over Financial Reporting</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fourth quarter of fiscal 2019, the Company completed its acquisition of Engility. As part of the ongoing integration of the acquired business, we are in the process of incorporating the controls and related procedures of Engility. Other than incorporating the Engility controls, there have been no changes in our internal control over financial reporting during the fourth quarter of fiscal 2019 that materially affected, or are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Management’s Report On Internal Control Over Financial Reporting</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16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completely, accurately and fairly reflect the transactions and dispositions of our assets; (ii) provide reasonable assurance that transactions are recorded as necessary to permit preparation of the financial statements in accordance with GAAP; (iii) provide reasonable assurance that our receipts and expenditures are made only in accordance with the authorization of our management and directors; and</w:t>
      </w:r>
    </w:p>
    <w:p>
      <w:pPr>
        <w:spacing w:after="0" w:line="2" w:lineRule="exact"/>
        <w:rPr>
          <w:sz w:val="20"/>
          <w:szCs w:val="20"/>
          <w:color w:val="auto"/>
        </w:rPr>
      </w:pPr>
    </w:p>
    <w:p>
      <w:pPr>
        <w:ind w:right="200" w:firstLine="8"/>
        <w:spacing w:after="0" w:line="256"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deficiencies as identified.</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permitted by the SEC rules, management’s assessment and conclusion on the effectiveness of the Company’s internal control over financial reporting as of February 1, 2019, excludes an assessment of the internal control over financial reporting of Engility, acquired on January 14, 2019. Engility represents 22% of the Company’s consolidated total assets, excluding the preliminary value of goodwill and intangible assets related to Engility, at February 1, 2019, and 2% and (12)% of the Company’s consolidated revenues and operating income, respectively, for the fiscal year then ended.</w:t>
      </w:r>
    </w:p>
    <w:p>
      <w:pPr>
        <w:spacing w:after="0" w:line="16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internal control over financial reporting as of February 1, 2019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February 1, 2019 and has concluded that our internal control over financial reporting was effective.</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Ernst &amp; Young LLP, an independent registered public accounting firm, audited our consolidated financial statements included in this report and our internal control over financial reporting, and the firm’s report on our internal control over financial reporting are set forth below this report.</w:t>
      </w:r>
    </w:p>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35</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audited Science Applications International Corporation's internal control over financial reporting as of February 1, 2019, based on criteria established in Internal Control - Integrated Framework issued by the Committee of Sponsoring Organizations of the Treadway Commission (2013 framework) (the COSO criteria). In our opinion, Science Applications International Corporation (the Company) maintained, in all material respects, effective internal control over financial reporting as of February 1, 2019, based on the COSO criteria.</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Engility, which is included in the FY 2019 consolidated financial statements of the Company and constituted 22% of the Company’s consolidated total assets, excluding the preliminary value of goodwill and intangible assets related to Engility at February 1, 2019 and 2% and (12)% of the Company’s consolidated revenues and operating income, respectively, for the year then ended. Our audit of internal control over financial reporting of the Company also did not include an evaluation of the internal control over financial reporting of Engility.</w:t>
      </w:r>
    </w:p>
    <w:p>
      <w:pPr>
        <w:spacing w:after="0" w:line="16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 of the Company as of February 1, 2019, the related consolidated statements of income, comprehensive income, equity, and cash flows for the year ended February 1, 2019, and the related notes and our report dated March 29, 2019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36</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2B4C9B"/>
        </w:rPr>
        <w:t>37</w:t>
      </w:r>
    </w:p>
    <w:p>
      <w:pPr>
        <w:sectPr>
          <w:pgSz w:w="11900" w:h="16838" w:orient="portrait"/>
          <w:cols w:equalWidth="0" w:num="1">
            <w:col w:w="11260"/>
          </w:cols>
          <w:pgMar w:left="240" w:top="141" w:right="399" w:bottom="1440" w:gutter="0" w:footer="0" w:header="0"/>
        </w:sectPr>
      </w:pPr>
    </w:p>
    <w:bookmarkStart w:id="39" w:name="page40"/>
    <w:bookmarkEnd w:id="3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9B. </w:t>
      </w:r>
      <w:r>
        <w:rPr>
          <w:rFonts w:ascii="Arial" w:cs="Arial" w:eastAsia="Arial" w:hAnsi="Arial"/>
          <w:sz w:val="18"/>
          <w:szCs w:val="18"/>
          <w:b w:val="1"/>
          <w:bCs w:val="1"/>
          <w:i w:val="1"/>
          <w:iCs w:val="1"/>
          <w:color w:val="2B4C9B"/>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2B4C9B"/>
        </w:rPr>
        <w:t>38</w:t>
      </w:r>
    </w:p>
    <w:p>
      <w:pPr>
        <w:sectPr>
          <w:pgSz w:w="11900" w:h="16838" w:orient="portrait"/>
          <w:cols w:equalWidth="0" w:num="1">
            <w:col w:w="10219"/>
          </w:cols>
          <w:pgMar w:left="240" w:top="141" w:right="1440" w:bottom="1440" w:gutter="0" w:footer="0" w:header="0"/>
        </w:sectPr>
      </w:pPr>
    </w:p>
    <w:bookmarkStart w:id="40" w:name="page41"/>
    <w:bookmarkEnd w:id="4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10. </w:t>
      </w:r>
      <w:r>
        <w:rPr>
          <w:rFonts w:ascii="Arial" w:cs="Arial" w:eastAsia="Arial" w:hAnsi="Arial"/>
          <w:sz w:val="18"/>
          <w:szCs w:val="18"/>
          <w:b w:val="1"/>
          <w:bCs w:val="1"/>
          <w:i w:val="1"/>
          <w:iCs w:val="1"/>
          <w:color w:val="2B4C9B"/>
        </w:rPr>
        <w:t>Directors, Executive Officers, and Corporate Governance</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executive officers as of March 29, 2019, are listed below, along with their ages on that date, positions and offices held and business experience during at least the past five years. All such persons have been elected to serve until their successors are elected and qualified or until their earlier resignation or removal.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Name of officer</w:t>
            </w:r>
          </w:p>
        </w:tc>
        <w:tc>
          <w:tcPr>
            <w:tcW w:w="780" w:type="dxa"/>
            <w:vAlign w:val="bottom"/>
            <w:tcBorders>
              <w:bottom w:val="single" w:sz="8" w:color="2B4C9B"/>
            </w:tcBorders>
          </w:tcPr>
          <w:p>
            <w:pPr>
              <w:jc w:val="center"/>
              <w:ind w:left="90"/>
              <w:spacing w:after="0"/>
              <w:rPr>
                <w:sz w:val="20"/>
                <w:szCs w:val="20"/>
                <w:color w:val="auto"/>
              </w:rPr>
            </w:pPr>
            <w:r>
              <w:rPr>
                <w:rFonts w:ascii="Arial" w:cs="Arial" w:eastAsia="Arial" w:hAnsi="Arial"/>
                <w:sz w:val="18"/>
                <w:szCs w:val="18"/>
                <w:color w:val="auto"/>
                <w:w w:val="99"/>
              </w:rPr>
              <w:t>Age</w:t>
            </w:r>
          </w:p>
        </w:tc>
        <w:tc>
          <w:tcPr>
            <w:tcW w:w="8640" w:type="dxa"/>
            <w:vAlign w:val="bottom"/>
            <w:tcBorders>
              <w:bottom w:val="single" w:sz="8" w:color="2B4C9B"/>
            </w:tcBorders>
          </w:tcPr>
          <w:p>
            <w:pPr>
              <w:ind w:left="1960"/>
              <w:spacing w:after="0"/>
              <w:rPr>
                <w:sz w:val="20"/>
                <w:szCs w:val="20"/>
                <w:color w:val="auto"/>
              </w:rPr>
            </w:pPr>
            <w:r>
              <w:rPr>
                <w:rFonts w:ascii="Arial" w:cs="Arial" w:eastAsia="Arial" w:hAnsi="Arial"/>
                <w:sz w:val="18"/>
                <w:szCs w:val="18"/>
                <w:color w:val="auto"/>
              </w:rPr>
              <w:t>Position(s) with the Company and prior business experience</w:t>
            </w:r>
          </w:p>
        </w:tc>
      </w:tr>
      <w:tr>
        <w:trPr>
          <w:trHeight w:val="553"/>
        </w:trPr>
        <w:tc>
          <w:tcPr>
            <w:tcW w:w="1980" w:type="dxa"/>
            <w:vAlign w:val="bottom"/>
          </w:tcPr>
          <w:p>
            <w:pPr>
              <w:ind w:left="40"/>
              <w:spacing w:after="0"/>
              <w:rPr>
                <w:sz w:val="20"/>
                <w:szCs w:val="20"/>
                <w:color w:val="auto"/>
              </w:rPr>
            </w:pPr>
            <w:r>
              <w:rPr>
                <w:rFonts w:ascii="Arial" w:cs="Arial" w:eastAsia="Arial" w:hAnsi="Arial"/>
                <w:sz w:val="18"/>
                <w:szCs w:val="18"/>
                <w:color w:val="auto"/>
              </w:rPr>
              <w:t>Nazzic S. Keene</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9"/>
              </w:rPr>
              <w:t>58</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Operating Officer (COO) since June 2017. Prior to this role Ms. Keene served as Sector President,</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Global Markets and Missions from September 2013 to June 2017. Ms. Keene served as former Parent’s</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Senior Vice President for Corporate Strategy and Planning from August 2012 to September 2013. Prior to</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joining us, Ms. Keene was the Senior Vice President and General Manager for U.S. Enterprise Markets at</w:t>
            </w:r>
          </w:p>
        </w:tc>
      </w:tr>
      <w:tr>
        <w:trPr>
          <w:trHeight w:val="217"/>
        </w:trPr>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CGI Group, Inc. from 2004.</w:t>
            </w:r>
          </w:p>
        </w:tc>
      </w:tr>
      <w:tr>
        <w:trPr>
          <w:trHeight w:val="364"/>
        </w:trPr>
        <w:tc>
          <w:tcPr>
            <w:tcW w:w="1980" w:type="dxa"/>
            <w:vAlign w:val="bottom"/>
          </w:tcPr>
          <w:p>
            <w:pPr>
              <w:ind w:left="40"/>
              <w:spacing w:after="0"/>
              <w:rPr>
                <w:sz w:val="20"/>
                <w:szCs w:val="20"/>
                <w:color w:val="auto"/>
              </w:rPr>
            </w:pPr>
            <w:r>
              <w:rPr>
                <w:rFonts w:ascii="Arial" w:cs="Arial" w:eastAsia="Arial" w:hAnsi="Arial"/>
                <w:sz w:val="18"/>
                <w:szCs w:val="18"/>
                <w:color w:val="auto"/>
              </w:rPr>
              <w:t>Steven G. Mahon</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9"/>
              </w:rPr>
              <w:t>57</w:t>
            </w:r>
          </w:p>
        </w:tc>
        <w:tc>
          <w:tcPr>
            <w:tcW w:w="8640" w:type="dxa"/>
            <w:vAlign w:val="bottom"/>
          </w:tcPr>
          <w:p>
            <w:pPr>
              <w:ind w:left="120"/>
              <w:spacing w:after="0"/>
              <w:rPr>
                <w:sz w:val="20"/>
                <w:szCs w:val="20"/>
                <w:color w:val="auto"/>
              </w:rPr>
            </w:pPr>
            <w:r>
              <w:rPr>
                <w:rFonts w:ascii="Arial" w:cs="Arial" w:eastAsia="Arial" w:hAnsi="Arial"/>
                <w:sz w:val="18"/>
                <w:szCs w:val="18"/>
                <w:color w:val="auto"/>
              </w:rPr>
              <w:t>General Counsel and Corporate Secretary since November 2015. Mr. Mahon previously served as</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General Counsel, Chief Compliance Officer and Corporate Secretary at MTS Systems Corporation (MTS)</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from October 2011 to November 2015. Prior to MTS, Mr. Mahon was Assistant General Counsel for Alliant</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Techsystems Inc. and is a retired Colonel from the U.S. Army where he served in the U.S. Judge</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Advocate’s General’s Corps, practicing law in a variety of roles on active duty and in the U.S. Army</w:t>
            </w:r>
          </w:p>
        </w:tc>
      </w:tr>
      <w:tr>
        <w:trPr>
          <w:trHeight w:val="217"/>
        </w:trPr>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Reserve.</w:t>
            </w:r>
          </w:p>
        </w:tc>
      </w:tr>
      <w:tr>
        <w:trPr>
          <w:trHeight w:val="364"/>
        </w:trPr>
        <w:tc>
          <w:tcPr>
            <w:tcW w:w="1980" w:type="dxa"/>
            <w:vAlign w:val="bottom"/>
          </w:tcPr>
          <w:p>
            <w:pPr>
              <w:ind w:left="40"/>
              <w:spacing w:after="0"/>
              <w:rPr>
                <w:sz w:val="20"/>
                <w:szCs w:val="20"/>
                <w:color w:val="auto"/>
              </w:rPr>
            </w:pPr>
            <w:r>
              <w:rPr>
                <w:rFonts w:ascii="Arial" w:cs="Arial" w:eastAsia="Arial" w:hAnsi="Arial"/>
                <w:sz w:val="18"/>
                <w:szCs w:val="18"/>
                <w:color w:val="auto"/>
              </w:rPr>
              <w:t>Charles A. Mathis</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9"/>
              </w:rPr>
              <w:t>59</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Financial Officer since November 2016. Mr. Mathis previously served as CFO at ScanSource Inc., a</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global public company focused on technology services and products, since 2012. Prior to ScanSource,</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Mathis was CFO from 2008 to 2012 for Force Protection Inc., based in South Carolina, where he led</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strategic and operational improvements of the global defense company. He was also the CFO for Fort</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Worth-based EFW, Inc., the U.S.-based subsidiary of the Israeli defense contractor, Elbit Systems from</w:t>
            </w:r>
          </w:p>
        </w:tc>
      </w:tr>
      <w:tr>
        <w:trPr>
          <w:trHeight w:val="217"/>
        </w:trPr>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2006 to 2008.</w:t>
            </w:r>
          </w:p>
        </w:tc>
      </w:tr>
      <w:tr>
        <w:trPr>
          <w:trHeight w:val="364"/>
        </w:trPr>
        <w:tc>
          <w:tcPr>
            <w:tcW w:w="1980" w:type="dxa"/>
            <w:vAlign w:val="bottom"/>
          </w:tcPr>
          <w:p>
            <w:pPr>
              <w:ind w:left="40"/>
              <w:spacing w:after="0"/>
              <w:rPr>
                <w:sz w:val="20"/>
                <w:szCs w:val="20"/>
                <w:color w:val="auto"/>
              </w:rPr>
            </w:pPr>
            <w:r>
              <w:rPr>
                <w:rFonts w:ascii="Arial" w:cs="Arial" w:eastAsia="Arial" w:hAnsi="Arial"/>
                <w:sz w:val="18"/>
                <w:szCs w:val="18"/>
                <w:color w:val="auto"/>
              </w:rPr>
              <w:t>Anthony J. Moraco</w:t>
            </w:r>
            <w:r>
              <w:rPr>
                <w:rFonts w:ascii="Arial" w:cs="Arial" w:eastAsia="Arial" w:hAnsi="Arial"/>
                <w:sz w:val="21"/>
                <w:szCs w:val="21"/>
                <w:color w:val="auto"/>
                <w:vertAlign w:val="superscript"/>
              </w:rPr>
              <w:t>(1)</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9"/>
              </w:rPr>
              <w:t>59</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Executive Officer since September 2013. Mr. Moraco previously served as the President for the</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Government Solutions Group of former Parent from February 2013 to September 2013. Mr. Moraco also</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held positions as Group President of former Parent’s Intelligence, Surveillance and Reconnaissance</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organization from March 2012 to February 2013, Executive Vice President for Operations and</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Performance Excellence from August 2010 to March 2012, and Business Unit General Manager and other</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positions for the Space and Geospatial Intelligence business unit from February 2006 to August 2010.</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Prior to joining us in 2006, Mr. Moraco worked for The Boeing Company from 2000 to 2006 where he</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served as the Deputy General Manager of Mission Systems in the Space and Intelligence Systems</w:t>
            </w:r>
          </w:p>
        </w:tc>
      </w:tr>
      <w:tr>
        <w:trPr>
          <w:trHeight w:val="217"/>
        </w:trPr>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organization as well as the Director of Homeland Security Technology Integration.</w:t>
            </w:r>
          </w:p>
        </w:tc>
      </w:tr>
      <w:tr>
        <w:trPr>
          <w:trHeight w:val="364"/>
        </w:trPr>
        <w:tc>
          <w:tcPr>
            <w:tcW w:w="1980" w:type="dxa"/>
            <w:vAlign w:val="bottom"/>
          </w:tcPr>
          <w:p>
            <w:pPr>
              <w:ind w:left="40"/>
              <w:spacing w:after="0"/>
              <w:rPr>
                <w:sz w:val="20"/>
                <w:szCs w:val="20"/>
                <w:color w:val="auto"/>
              </w:rPr>
            </w:pPr>
            <w:r>
              <w:rPr>
                <w:rFonts w:ascii="Arial" w:cs="Arial" w:eastAsia="Arial" w:hAnsi="Arial"/>
                <w:sz w:val="18"/>
                <w:szCs w:val="18"/>
                <w:color w:val="auto"/>
              </w:rPr>
              <w:t>Karen A. Wheeler</w:t>
            </w: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9"/>
              </w:rPr>
              <w:t>49</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Human Resources Officer since February 2017. Prior to this role, Ms. Wheeler served as Chief</w:t>
            </w:r>
          </w:p>
        </w:tc>
      </w:tr>
      <w:tr>
        <w:trPr>
          <w:trHeight w:val="203"/>
        </w:trPr>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Procurement Officer from July 2013 to February 2017. Ms. Wheeler has more than 20 years of experience</w:t>
            </w:r>
          </w:p>
        </w:tc>
      </w:tr>
    </w:tbl>
    <w:p>
      <w:pPr>
        <w:ind w:left="2880" w:right="420"/>
        <w:spacing w:after="0" w:line="246" w:lineRule="auto"/>
        <w:rPr>
          <w:sz w:val="20"/>
          <w:szCs w:val="20"/>
          <w:color w:val="auto"/>
        </w:rPr>
      </w:pPr>
      <w:r>
        <w:rPr>
          <w:rFonts w:ascii="Arial" w:cs="Arial" w:eastAsia="Arial" w:hAnsi="Arial"/>
          <w:sz w:val="18"/>
          <w:szCs w:val="18"/>
          <w:color w:val="auto"/>
        </w:rPr>
        <w:t>at SAIC, where she held many key contracts and procurement director positions supporting numerous business areas.</w:t>
      </w:r>
    </w:p>
    <w:p>
      <w:pPr>
        <w:spacing w:after="0" w:line="324" w:lineRule="exact"/>
        <w:rPr>
          <w:sz w:val="20"/>
          <w:szCs w:val="20"/>
          <w:color w:val="auto"/>
        </w:rPr>
      </w:pPr>
    </w:p>
    <w:p>
      <w:pPr>
        <w:ind w:left="980" w:right="300" w:hanging="648"/>
        <w:spacing w:after="0" w:line="258"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Tony Moraco will retire as chief executive officer effective July 31, 2019, and the Board of Directors has elected Nazzic S. Keene, currently the Company's chief operating officer, to succeed him.</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in the 2019 Definitive Proxy Statement, which information is incorporated by reference into this report.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39</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 xml:space="preserve">We have adopted a code of conduct, which describes our standards for protecting SAIC and customer assets, fostering a safe and healthy work environment, dealing fairly with customers and others, conducting international business properly, reporting misconduct and protecting employees from retaliation. This code applies to all executive officers and employees and forms the foundation of our corporate policies and procedures designed to promote ethical behavior in all aspects of our business. To obtain copies of the Code of Conduct, visit our website at </w:t>
      </w:r>
      <w:r>
        <w:rPr>
          <w:rFonts w:ascii="Arial" w:cs="Arial" w:eastAsia="Arial" w:hAnsi="Arial"/>
          <w:sz w:val="18"/>
          <w:szCs w:val="18"/>
          <w:i w:val="1"/>
          <w:iCs w:val="1"/>
          <w:color w:val="auto"/>
        </w:rPr>
        <w:t xml:space="preserve">www.saic.com </w:t>
      </w:r>
      <w:r>
        <w:rPr>
          <w:rFonts w:ascii="Arial" w:cs="Arial" w:eastAsia="Arial" w:hAnsi="Arial"/>
          <w:sz w:val="18"/>
          <w:szCs w:val="18"/>
          <w:color w:val="auto"/>
        </w:rPr>
        <w:t>and click on the link titled “Corporate Governance” and then “Code of Conduct.” We intend to post on our website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or waivers from our code of business ethics. The information on our website is not incorporated by reference into and is not a part of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11. </w:t>
      </w:r>
      <w:r>
        <w:rPr>
          <w:rFonts w:ascii="Arial" w:cs="Arial" w:eastAsia="Arial" w:hAnsi="Arial"/>
          <w:sz w:val="18"/>
          <w:szCs w:val="18"/>
          <w:b w:val="1"/>
          <w:bCs w:val="1"/>
          <w:i w:val="1"/>
          <w:iCs w:val="1"/>
          <w:color w:val="2B4C9B"/>
        </w:rPr>
        <w:t>Executive Compensation</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see the information set forth under the captions “Compensation Discussion and Analysis,” “Executive Compensation” and “Corporate Governance” in the 2019 Definitive Proxy Statement, which information is incorporated by reference into this report.</w:t>
      </w:r>
    </w:p>
    <w:p>
      <w:pPr>
        <w:spacing w:after="0" w:line="16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2019 Definitive Proxy Statement, which information is incorporated by reference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12. </w:t>
      </w:r>
      <w:r>
        <w:rPr>
          <w:rFonts w:ascii="Arial" w:cs="Arial" w:eastAsia="Arial" w:hAnsi="Arial"/>
          <w:sz w:val="18"/>
          <w:szCs w:val="18"/>
          <w:b w:val="1"/>
          <w:bCs w:val="1"/>
          <w:i w:val="1"/>
          <w:iCs w:val="1"/>
          <w:color w:val="2B4C9B"/>
        </w:rPr>
        <w:t>Security Ownership of Certain Beneficial Owners and Management and Related Stockholder Matters</w:t>
      </w:r>
    </w:p>
    <w:p>
      <w:pPr>
        <w:spacing w:after="0" w:line="20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2019 Definitive Proxy Statement, which information is incorporated by reference into this report.</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currently maintain four shareholder-approved equity compensation plans that issue stock-based awards including the 2013 Equity Incentive Plan, the Management Stock Compensation Plan, the 2013 Employee Stock Purchase Plan and the 2012 Long Term Performance Plan. For summaries of these plans, see Note 7 to the consolidated financial statements contained within this report.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40</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provides the number of shares of our common stock to be issued, the weighted-average exercise price of the outstanding stock options and the number of shares remaining for future award grants as of February 1, 2019:</w:t>
      </w:r>
    </w:p>
    <w:p>
      <w:pPr>
        <w:spacing w:after="0" w:line="324"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8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Number of securities</w:t>
            </w:r>
          </w:p>
        </w:tc>
      </w:t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remaining</w:t>
            </w:r>
          </w:p>
        </w:tc>
      </w:t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available for future</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Number of securities</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Weighted-average</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issuance under equity</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to be issued upon</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exercise price of</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compensation plans</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exercise of</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outstanding</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(excluding</w:t>
            </w:r>
          </w:p>
        </w:tc>
      </w:tr>
      <w:tr>
        <w:trPr>
          <w:trHeight w:val="157"/>
        </w:trPr>
        <w:tc>
          <w:tcPr>
            <w:tcW w:w="6240" w:type="dxa"/>
            <w:vAlign w:val="bottom"/>
          </w:tcPr>
          <w:p>
            <w:pPr>
              <w:spacing w:after="0"/>
              <w:rPr>
                <w:sz w:val="13"/>
                <w:szCs w:val="13"/>
                <w:color w:val="auto"/>
              </w:rPr>
            </w:pPr>
          </w:p>
        </w:tc>
        <w:tc>
          <w:tcPr>
            <w:tcW w:w="1560" w:type="dxa"/>
            <w:vAlign w:val="bottom"/>
          </w:tcPr>
          <w:p>
            <w:pPr>
              <w:jc w:val="right"/>
              <w:ind w:right="42"/>
              <w:spacing w:after="0" w:line="157" w:lineRule="exact"/>
              <w:rPr>
                <w:sz w:val="20"/>
                <w:szCs w:val="20"/>
                <w:color w:val="auto"/>
              </w:rPr>
            </w:pPr>
            <w:r>
              <w:rPr>
                <w:rFonts w:ascii="Arial" w:cs="Arial" w:eastAsia="Arial" w:hAnsi="Arial"/>
                <w:sz w:val="14"/>
                <w:szCs w:val="14"/>
                <w:color w:val="auto"/>
              </w:rPr>
              <w:t>outstanding options,</w:t>
            </w:r>
          </w:p>
        </w:tc>
        <w:tc>
          <w:tcPr>
            <w:tcW w:w="320" w:type="dxa"/>
            <w:vAlign w:val="bottom"/>
          </w:tcPr>
          <w:p>
            <w:pPr>
              <w:spacing w:after="0"/>
              <w:rPr>
                <w:sz w:val="13"/>
                <w:szCs w:val="13"/>
                <w:color w:val="auto"/>
              </w:rPr>
            </w:pPr>
          </w:p>
        </w:tc>
        <w:tc>
          <w:tcPr>
            <w:tcW w:w="1460" w:type="dxa"/>
            <w:vAlign w:val="bottom"/>
          </w:tcPr>
          <w:p>
            <w:pPr>
              <w:jc w:val="right"/>
              <w:ind w:right="144"/>
              <w:spacing w:after="0" w:line="157" w:lineRule="exact"/>
              <w:rPr>
                <w:sz w:val="20"/>
                <w:szCs w:val="20"/>
                <w:color w:val="auto"/>
              </w:rPr>
            </w:pPr>
            <w:r>
              <w:rPr>
                <w:rFonts w:ascii="Arial" w:cs="Arial" w:eastAsia="Arial" w:hAnsi="Arial"/>
                <w:sz w:val="14"/>
                <w:szCs w:val="14"/>
                <w:color w:val="auto"/>
              </w:rPr>
              <w:t>options, warrants</w:t>
            </w:r>
          </w:p>
        </w:tc>
        <w:tc>
          <w:tcPr>
            <w:tcW w:w="1540" w:type="dxa"/>
            <w:vAlign w:val="bottom"/>
          </w:tcPr>
          <w:p>
            <w:pPr>
              <w:jc w:val="right"/>
              <w:ind w:right="24"/>
              <w:spacing w:after="0" w:line="157" w:lineRule="exact"/>
              <w:rPr>
                <w:sz w:val="20"/>
                <w:szCs w:val="20"/>
                <w:color w:val="auto"/>
              </w:rPr>
            </w:pPr>
            <w:r>
              <w:rPr>
                <w:rFonts w:ascii="Arial" w:cs="Arial" w:eastAsia="Arial" w:hAnsi="Arial"/>
                <w:sz w:val="14"/>
                <w:szCs w:val="14"/>
                <w:color w:val="auto"/>
              </w:rPr>
              <w:t>securities reflected in</w:t>
            </w:r>
          </w:p>
        </w:tc>
      </w:tr>
      <w:tr>
        <w:trPr>
          <w:trHeight w:val="189"/>
        </w:trPr>
        <w:tc>
          <w:tcPr>
            <w:tcW w:w="624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Plan Category</w:t>
            </w:r>
          </w:p>
        </w:tc>
        <w:tc>
          <w:tcPr>
            <w:tcW w:w="1560" w:type="dxa"/>
            <w:vAlign w:val="bottom"/>
            <w:tcBorders>
              <w:bottom w:val="single" w:sz="8" w:color="2B4C9B"/>
            </w:tcBorders>
          </w:tcPr>
          <w:p>
            <w:pPr>
              <w:jc w:val="right"/>
              <w:ind w:right="42"/>
              <w:spacing w:after="0" w:line="189" w:lineRule="exact"/>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(1)</w:t>
            </w:r>
          </w:p>
        </w:tc>
        <w:tc>
          <w:tcPr>
            <w:tcW w:w="320" w:type="dxa"/>
            <w:vAlign w:val="bottom"/>
            <w:tcBorders>
              <w:bottom w:val="single" w:sz="8" w:color="2B4C9B"/>
            </w:tcBorders>
          </w:tcPr>
          <w:p>
            <w:pPr>
              <w:spacing w:after="0"/>
              <w:rPr>
                <w:sz w:val="16"/>
                <w:szCs w:val="16"/>
                <w:color w:val="auto"/>
              </w:rPr>
            </w:pPr>
          </w:p>
        </w:tc>
        <w:tc>
          <w:tcPr>
            <w:tcW w:w="1460" w:type="dxa"/>
            <w:vAlign w:val="bottom"/>
            <w:tcBorders>
              <w:bottom w:val="single" w:sz="8" w:color="2B4C9B"/>
            </w:tcBorders>
          </w:tcPr>
          <w:p>
            <w:pPr>
              <w:jc w:val="right"/>
              <w:ind w:right="144"/>
              <w:spacing w:after="0" w:line="189" w:lineRule="exact"/>
              <w:rPr>
                <w:sz w:val="20"/>
                <w:szCs w:val="20"/>
                <w:color w:val="auto"/>
              </w:rPr>
            </w:pPr>
            <w:r>
              <w:rPr>
                <w:rFonts w:ascii="Arial" w:cs="Arial" w:eastAsia="Arial" w:hAnsi="Arial"/>
                <w:sz w:val="14"/>
                <w:szCs w:val="14"/>
                <w:color w:val="auto"/>
              </w:rPr>
              <w:t>and rights</w:t>
            </w:r>
            <w:r>
              <w:rPr>
                <w:rFonts w:ascii="Arial" w:cs="Arial" w:eastAsia="Arial" w:hAnsi="Arial"/>
                <w:sz w:val="17"/>
                <w:szCs w:val="17"/>
                <w:color w:val="auto"/>
                <w:vertAlign w:val="superscript"/>
              </w:rPr>
              <w:t>(2)</w:t>
            </w:r>
          </w:p>
        </w:tc>
        <w:tc>
          <w:tcPr>
            <w:tcW w:w="1540" w:type="dxa"/>
            <w:vAlign w:val="bottom"/>
            <w:tcBorders>
              <w:bottom w:val="single" w:sz="8" w:color="2B4C9B"/>
            </w:tcBorders>
          </w:tcPr>
          <w:p>
            <w:pPr>
              <w:jc w:val="right"/>
              <w:ind w:right="24"/>
              <w:spacing w:after="0" w:line="189" w:lineRule="exact"/>
              <w:rPr>
                <w:sz w:val="20"/>
                <w:szCs w:val="20"/>
                <w:color w:val="auto"/>
              </w:rPr>
            </w:pPr>
            <w:r>
              <w:rPr>
                <w:rFonts w:ascii="Arial" w:cs="Arial" w:eastAsia="Arial" w:hAnsi="Arial"/>
                <w:sz w:val="14"/>
                <w:szCs w:val="14"/>
                <w:color w:val="auto"/>
              </w:rPr>
              <w:t>column (a))</w:t>
            </w:r>
            <w:r>
              <w:rPr>
                <w:rFonts w:ascii="Arial" w:cs="Arial" w:eastAsia="Arial" w:hAnsi="Arial"/>
                <w:sz w:val="17"/>
                <w:szCs w:val="17"/>
                <w:color w:val="auto"/>
                <w:vertAlign w:val="superscript"/>
              </w:rPr>
              <w:t>(3)</w:t>
            </w:r>
          </w:p>
        </w:tc>
      </w:tr>
      <w:tr>
        <w:trPr>
          <w:trHeight w:val="258"/>
        </w:trPr>
        <w:tc>
          <w:tcPr>
            <w:tcW w:w="6240" w:type="dxa"/>
            <w:vAlign w:val="bottom"/>
          </w:tcPr>
          <w:p>
            <w:pPr>
              <w:spacing w:after="0"/>
              <w:rPr>
                <w:sz w:val="22"/>
                <w:szCs w:val="22"/>
                <w:color w:val="auto"/>
              </w:rPr>
            </w:pPr>
          </w:p>
        </w:tc>
        <w:tc>
          <w:tcPr>
            <w:tcW w:w="1560" w:type="dxa"/>
            <w:vAlign w:val="bottom"/>
          </w:tcPr>
          <w:p>
            <w:pPr>
              <w:jc w:val="right"/>
              <w:ind w:right="622"/>
              <w:spacing w:after="0"/>
              <w:rPr>
                <w:sz w:val="20"/>
                <w:szCs w:val="20"/>
                <w:color w:val="auto"/>
              </w:rPr>
            </w:pPr>
            <w:r>
              <w:rPr>
                <w:rFonts w:ascii="Arial" w:cs="Arial" w:eastAsia="Arial" w:hAnsi="Arial"/>
                <w:sz w:val="14"/>
                <w:szCs w:val="14"/>
                <w:color w:val="auto"/>
              </w:rPr>
              <w:t>(a)</w:t>
            </w:r>
          </w:p>
        </w:tc>
        <w:tc>
          <w:tcPr>
            <w:tcW w:w="320" w:type="dxa"/>
            <w:vAlign w:val="bottom"/>
          </w:tcPr>
          <w:p>
            <w:pPr>
              <w:spacing w:after="0"/>
              <w:rPr>
                <w:sz w:val="22"/>
                <w:szCs w:val="22"/>
                <w:color w:val="auto"/>
              </w:rPr>
            </w:pPr>
          </w:p>
        </w:tc>
        <w:tc>
          <w:tcPr>
            <w:tcW w:w="1460" w:type="dxa"/>
            <w:vAlign w:val="bottom"/>
          </w:tcPr>
          <w:p>
            <w:pPr>
              <w:jc w:val="right"/>
              <w:ind w:right="724"/>
              <w:spacing w:after="0"/>
              <w:rPr>
                <w:sz w:val="20"/>
                <w:szCs w:val="20"/>
                <w:color w:val="auto"/>
              </w:rPr>
            </w:pPr>
            <w:r>
              <w:rPr>
                <w:rFonts w:ascii="Arial" w:cs="Arial" w:eastAsia="Arial" w:hAnsi="Arial"/>
                <w:sz w:val="14"/>
                <w:szCs w:val="14"/>
                <w:color w:val="auto"/>
              </w:rPr>
              <w:t>(b)</w:t>
            </w:r>
          </w:p>
        </w:tc>
        <w:tc>
          <w:tcPr>
            <w:tcW w:w="1540" w:type="dxa"/>
            <w:vAlign w:val="bottom"/>
          </w:tcPr>
          <w:p>
            <w:pPr>
              <w:jc w:val="right"/>
              <w:ind w:right="604"/>
              <w:spacing w:after="0"/>
              <w:rPr>
                <w:sz w:val="20"/>
                <w:szCs w:val="20"/>
                <w:color w:val="auto"/>
              </w:rPr>
            </w:pPr>
            <w:r>
              <w:rPr>
                <w:rFonts w:ascii="Arial" w:cs="Arial" w:eastAsia="Arial" w:hAnsi="Arial"/>
                <w:sz w:val="14"/>
                <w:szCs w:val="14"/>
                <w:color w:val="auto"/>
              </w:rPr>
              <w:t>(c)</w:t>
            </w:r>
          </w:p>
        </w:tc>
      </w:tr>
      <w:tr>
        <w:trPr>
          <w:trHeight w:val="276"/>
        </w:trPr>
        <w:tc>
          <w:tcPr>
            <w:tcW w:w="6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2,343,938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44"/>
              <w:spacing w:after="0"/>
              <w:rPr>
                <w:sz w:val="20"/>
                <w:szCs w:val="20"/>
                <w:color w:val="auto"/>
              </w:rPr>
            </w:pPr>
            <w:r>
              <w:rPr>
                <w:rFonts w:ascii="Arial" w:cs="Arial" w:eastAsia="Arial" w:hAnsi="Arial"/>
                <w:sz w:val="18"/>
                <w:szCs w:val="18"/>
                <w:color w:val="auto"/>
              </w:rPr>
              <w:t>53.67</w:t>
            </w:r>
          </w:p>
        </w:tc>
        <w:tc>
          <w:tcPr>
            <w:tcW w:w="15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7,010,527</w:t>
            </w:r>
          </w:p>
        </w:tc>
      </w:tr>
      <w:tr>
        <w:trPr>
          <w:trHeight w:val="264"/>
        </w:trPr>
        <w:tc>
          <w:tcPr>
            <w:tcW w:w="6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Borders>
              <w:bottom w:val="single" w:sz="8" w:color="2B4C9B"/>
            </w:tcBorders>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2B4C9B"/>
            </w:tcBorders>
          </w:tcPr>
          <w:p>
            <w:pPr>
              <w:jc w:val="right"/>
              <w:ind w:right="14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B4C9B"/>
            </w:tcBorders>
          </w:tcPr>
          <w:p>
            <w:pPr>
              <w:jc w:val="right"/>
              <w:ind w:right="24"/>
              <w:spacing w:after="0"/>
              <w:rPr>
                <w:sz w:val="20"/>
                <w:szCs w:val="20"/>
                <w:color w:val="auto"/>
              </w:rPr>
            </w:pPr>
            <w:r>
              <w:rPr>
                <w:rFonts w:ascii="Arial" w:cs="Arial" w:eastAsia="Arial" w:hAnsi="Arial"/>
                <w:sz w:val="18"/>
                <w:szCs w:val="18"/>
                <w:color w:val="auto"/>
              </w:rPr>
              <w:t>—</w:t>
            </w:r>
          </w:p>
        </w:tc>
      </w:tr>
      <w:tr>
        <w:trPr>
          <w:trHeight w:val="264"/>
        </w:trPr>
        <w:tc>
          <w:tcPr>
            <w:tcW w:w="6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color w:val="auto"/>
              </w:rPr>
              <w:t>2,343,938</w:t>
            </w:r>
          </w:p>
        </w:tc>
        <w:tc>
          <w:tcPr>
            <w:tcW w:w="3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2B4C9B"/>
            </w:tcBorders>
            <w:shd w:val="clear" w:color="auto" w:fill="CFF0FC"/>
          </w:tcPr>
          <w:p>
            <w:pPr>
              <w:jc w:val="right"/>
              <w:ind w:right="24"/>
              <w:spacing w:after="0"/>
              <w:rPr>
                <w:sz w:val="20"/>
                <w:szCs w:val="20"/>
                <w:color w:val="auto"/>
              </w:rPr>
            </w:pPr>
            <w:r>
              <w:rPr>
                <w:rFonts w:ascii="Arial" w:cs="Arial" w:eastAsia="Arial" w:hAnsi="Arial"/>
                <w:sz w:val="18"/>
                <w:szCs w:val="18"/>
                <w:color w:val="auto"/>
              </w:rPr>
              <w:t>7,010,527</w:t>
            </w:r>
          </w:p>
        </w:tc>
      </w:tr>
    </w:tbl>
    <w:p>
      <w:pPr>
        <w:spacing w:after="0" w:line="218" w:lineRule="exact"/>
        <w:rPr>
          <w:sz w:val="20"/>
          <w:szCs w:val="20"/>
          <w:color w:val="auto"/>
        </w:rPr>
      </w:pPr>
    </w:p>
    <w:p>
      <w:pPr>
        <w:ind w:left="500" w:right="60" w:hanging="492"/>
        <w:spacing w:after="0" w:line="246"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amount includes 1,058,165 stock options outstanding, 1,105,473 shares issuable for other stock-based awards under the 2013 Equity Incentive Plan and 180,300 shares issuable for other stock-based awards under the 2012 Long Term Performance Plan (for assumed Engility awards, see Note 7 to the consolidated financial statements contained within this report). This amount does not include shares to be issued pursuant to purchase rights under the 2013 Employee Stock Purchase Plan.</w:t>
      </w:r>
    </w:p>
    <w:p>
      <w:pPr>
        <w:spacing w:after="0" w:line="1" w:lineRule="exact"/>
        <w:rPr>
          <w:rFonts w:ascii="Arial" w:cs="Arial" w:eastAsia="Arial" w:hAnsi="Arial"/>
          <w:sz w:val="16"/>
          <w:szCs w:val="16"/>
          <w:color w:val="auto"/>
        </w:rPr>
      </w:pPr>
    </w:p>
    <w:p>
      <w:pPr>
        <w:ind w:left="500" w:right="460" w:hanging="492"/>
        <w:spacing w:after="0" w:line="246"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shares to be issued for stock-based awards, other than stock options, which will not require any payment upon issuance of those shares.</w:t>
      </w:r>
    </w:p>
    <w:p>
      <w:pPr>
        <w:ind w:left="500" w:right="40" w:hanging="492"/>
        <w:spacing w:after="0" w:line="247"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2,988,496 shares of our common stock available for issuance under the 2013 Employee Stock Purchase Plan (ESPP). The maximum number of shares initially available for issuance under the ESPP was 1 million. The ESPP provides for an automatic increase to the share reserve on the first day of each fiscal year beginning on February 1, 2014 in an amount equal to the lesser of (i) 1 million shares, (ii) two percent of the number of shares of our common stock outstanding on the last day of the immediately preceding fiscal year or (iii) a number determined by the Compensation Committee of the Board of Directors. The amount authorized for issuance under the ESPP increased 500,000, 916,198 and 973,477 during fiscal 2017, 2016 and 2015 respectively. There was no increase to the amount authorized for issuance under the ESPP during fiscal 2018 or fiscal 2019. In addition, this includes 3,106,084 shares of our common stock available for issuance under the 2013 Equity Incentive Plan (EIP). The maximum number of shares initially available for issuance under the EIP was 5.7 million, which was increased by 2.8 million per the amended and restated 2013 Equity Incentive Plan, adopted June 4, 2014, amounting to a total authorized for issuance of 8.5 million. Lastly, this includes 915,947 shares of our common stock available for issuance under the 2012 Long Term Performance Plan (LTPP), see Note 7 to the consolidated financial statements contained within this report. The shares outstanding under the LTPP relate to assumed awards from the Engility acquisition, and as of the acquisition date, January 14, 2019, the maximum number of shares available for issuance under the LTPP was 1,198,010. We expect that the number of shares actually issued under the EIP and LTPP will be significantly less than the number of total awards outstanding under the respective plans because (a) a net option exercise results in a smaller portion of the number of award shares being issued when a participant uses award shares, rather than cash, to pay the exercise price, which historically most participants have elected to do, (b) most participants historically have elected to let the Company retain award shares to pay for taxes due on the exercise of options and all participants are required to use award shares to pay for taxes upon the vesting of restricted stock or restricted stock units, (c) some participants may terminate employment with the Company before the vesting of awards resulting in awards being forfeited and (d) some participants may not exercise stock options before the expiration date for a variety of reasons, including if the exercise price exceeds the then current market price of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13. </w:t>
      </w:r>
      <w:r>
        <w:rPr>
          <w:rFonts w:ascii="Arial" w:cs="Arial" w:eastAsia="Arial" w:hAnsi="Arial"/>
          <w:sz w:val="18"/>
          <w:szCs w:val="18"/>
          <w:b w:val="1"/>
          <w:bCs w:val="1"/>
          <w:i w:val="1"/>
          <w:iCs w:val="1"/>
          <w:color w:val="2B4C9B"/>
        </w:rPr>
        <w:t>Certain Relationships and Related Transactions, and Director Independence</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2019 Definitive Proxy Statement, which information is incorporated by reference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14. </w:t>
      </w:r>
      <w:r>
        <w:rPr>
          <w:rFonts w:ascii="Arial" w:cs="Arial" w:eastAsia="Arial" w:hAnsi="Arial"/>
          <w:sz w:val="18"/>
          <w:szCs w:val="18"/>
          <w:b w:val="1"/>
          <w:bCs w:val="1"/>
          <w:i w:val="1"/>
          <w:iCs w:val="1"/>
          <w:color w:val="2B4C9B"/>
        </w:rPr>
        <w:t>Principal Accounting Fees and Services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2019 Definitive Proxy Statement, which information is incorporated by reference into this report.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41</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B4C9B"/>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15. </w:t>
      </w:r>
      <w:r>
        <w:rPr>
          <w:rFonts w:ascii="Arial" w:cs="Arial" w:eastAsia="Arial" w:hAnsi="Arial"/>
          <w:sz w:val="18"/>
          <w:szCs w:val="18"/>
          <w:b w:val="1"/>
          <w:bCs w:val="1"/>
          <w:i w:val="1"/>
          <w:iCs w:val="1"/>
          <w:color w:val="2B4C9B"/>
        </w:rPr>
        <w:t>Exhibits, Financial Statement Schedules</w:t>
      </w:r>
    </w:p>
    <w:p>
      <w:pPr>
        <w:spacing w:after="0" w:line="207" w:lineRule="exact"/>
        <w:rPr>
          <w:sz w:val="20"/>
          <w:szCs w:val="20"/>
          <w:color w:val="auto"/>
        </w:rPr>
      </w:pPr>
    </w:p>
    <w:p>
      <w:pPr>
        <w:ind w:left="980" w:hanging="567"/>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66" w:lineRule="exact"/>
        <w:rPr>
          <w:rFonts w:ascii="Arial" w:cs="Arial" w:eastAsia="Arial" w:hAnsi="Arial"/>
          <w:sz w:val="18"/>
          <w:szCs w:val="18"/>
          <w:color w:val="auto"/>
        </w:rPr>
      </w:pPr>
    </w:p>
    <w:p>
      <w:pPr>
        <w:ind w:left="1340" w:hanging="198"/>
        <w:spacing w:after="0"/>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3"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report.</w:t>
      </w:r>
    </w:p>
    <w:p>
      <w:pPr>
        <w:spacing w:after="0" w:line="138" w:lineRule="exact"/>
        <w:rPr>
          <w:sz w:val="20"/>
          <w:szCs w:val="20"/>
          <w:color w:val="auto"/>
        </w:rPr>
      </w:pPr>
    </w:p>
    <w:p>
      <w:pPr>
        <w:ind w:left="1340" w:hanging="19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3" w:lineRule="exact"/>
        <w:rPr>
          <w:sz w:val="20"/>
          <w:szCs w:val="20"/>
          <w:color w:val="auto"/>
        </w:rPr>
      </w:pPr>
    </w:p>
    <w:p>
      <w:pPr>
        <w:ind w:left="1300" w:right="42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38" w:lineRule="exact"/>
        <w:rPr>
          <w:sz w:val="20"/>
          <w:szCs w:val="20"/>
          <w:color w:val="auto"/>
        </w:rPr>
      </w:pPr>
    </w:p>
    <w:p>
      <w:pPr>
        <w:ind w:left="1340" w:hanging="19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 on pages F-45 through F-47 of this report.</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B4C9B"/>
        </w:rPr>
        <w:t>42</w:t>
      </w:r>
    </w:p>
    <w:p>
      <w:pPr>
        <w:sectPr>
          <w:pgSz w:w="11900" w:h="16838" w:orient="portrait"/>
          <w:cols w:equalWidth="0" w:num="1">
            <w:col w:w="11100"/>
          </w:cols>
          <w:pgMar w:left="240" w:top="141" w:right="559" w:bottom="1440" w:gutter="0" w:footer="0" w:header="0"/>
        </w:sectPr>
      </w:pPr>
    </w:p>
    <w:bookmarkStart w:id="44" w:name="page45"/>
    <w:bookmarkEnd w:id="4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16. </w:t>
      </w:r>
      <w:r>
        <w:rPr>
          <w:rFonts w:ascii="Arial" w:cs="Arial" w:eastAsia="Arial" w:hAnsi="Arial"/>
          <w:sz w:val="18"/>
          <w:szCs w:val="18"/>
          <w:b w:val="1"/>
          <w:bCs w:val="1"/>
          <w:i w:val="1"/>
          <w:iCs w:val="1"/>
          <w:color w:val="2B4C9B"/>
        </w:rPr>
        <w:t>Form 10-K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SIGNATURES</w:t>
      </w:r>
    </w:p>
    <w:p>
      <w:pPr>
        <w:spacing w:after="0" w:line="2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Science Applications International Corporation</w:t>
      </w:r>
    </w:p>
    <w:p>
      <w:pPr>
        <w:spacing w:after="0" w:line="347" w:lineRule="exact"/>
        <w:rPr>
          <w:sz w:val="20"/>
          <w:szCs w:val="20"/>
          <w:color w:val="auto"/>
        </w:rPr>
      </w:pPr>
    </w:p>
    <w:p>
      <w:pPr>
        <w:ind w:left="604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3009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52"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Charles A. Mathis</w:t>
      </w:r>
    </w:p>
    <w:p>
      <w:pPr>
        <w:spacing w:after="0" w:line="1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2019</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240" w:top="141" w:right="419" w:bottom="1440" w:gutter="0" w:footer="0" w:header="0"/>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960" w:type="dxa"/>
            <w:vAlign w:val="bottom"/>
          </w:tcPr>
          <w:p>
            <w:pPr>
              <w:spacing w:after="0"/>
              <w:rPr>
                <w:sz w:val="16"/>
                <w:szCs w:val="16"/>
                <w:color w:val="auto"/>
              </w:rPr>
            </w:pPr>
          </w:p>
        </w:tc>
      </w:tr>
      <w:tr>
        <w:trPr>
          <w:trHeight w:val="298"/>
        </w:trPr>
        <w:tc>
          <w:tcPr>
            <w:tcW w:w="1840" w:type="dxa"/>
            <w:vAlign w:val="bottom"/>
            <w:tcBorders>
              <w:bottom w:val="single" w:sz="8" w:color="auto"/>
            </w:tcBorders>
            <w:gridSpan w:val="2"/>
          </w:tcPr>
          <w:p>
            <w:pPr>
              <w:ind w:left="152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Anthony J. Moraco</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Anthony J. Moraco</w:t>
            </w:r>
          </w:p>
        </w:tc>
      </w:tr>
      <w:tr>
        <w:trPr>
          <w:trHeight w:val="405"/>
        </w:trPr>
        <w:tc>
          <w:tcPr>
            <w:tcW w:w="184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Charles A. Mathis</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Charles A. Mathis</w:t>
            </w:r>
          </w:p>
        </w:tc>
      </w:tr>
      <w:tr>
        <w:trPr>
          <w:trHeight w:val="405"/>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Donna S. Morea</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Donna S. Morea</w:t>
            </w:r>
          </w:p>
        </w:tc>
      </w:tr>
      <w:tr>
        <w:trPr>
          <w:trHeight w:val="418"/>
        </w:trPr>
        <w:tc>
          <w:tcPr>
            <w:tcW w:w="15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w w:val="82"/>
              </w:rPr>
              <w:t>/s/</w:t>
            </w:r>
          </w:p>
        </w:tc>
        <w:tc>
          <w:tcPr>
            <w:tcW w:w="312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Robert A. Bedingfield</w:t>
            </w:r>
          </w:p>
        </w:tc>
      </w:tr>
      <w:tr>
        <w:trPr>
          <w:trHeight w:val="237"/>
        </w:trPr>
        <w:tc>
          <w:tcPr>
            <w:tcW w:w="4700" w:type="dxa"/>
            <w:vAlign w:val="bottom"/>
            <w:gridSpan w:val="5"/>
          </w:tcPr>
          <w:p>
            <w:pPr>
              <w:ind w:left="1520"/>
              <w:spacing w:after="0"/>
              <w:rPr>
                <w:sz w:val="20"/>
                <w:szCs w:val="20"/>
                <w:color w:val="auto"/>
              </w:rPr>
            </w:pPr>
            <w:r>
              <w:rPr>
                <w:rFonts w:ascii="Arial" w:cs="Arial" w:eastAsia="Arial" w:hAnsi="Arial"/>
                <w:sz w:val="16"/>
                <w:szCs w:val="16"/>
                <w:b w:val="1"/>
                <w:bCs w:val="1"/>
                <w:color w:val="auto"/>
              </w:rPr>
              <w:t>Robert A. Bedingfield</w:t>
            </w:r>
          </w:p>
        </w:tc>
      </w:tr>
      <w:tr>
        <w:trPr>
          <w:trHeight w:val="418"/>
        </w:trPr>
        <w:tc>
          <w:tcPr>
            <w:tcW w:w="184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Deborah B. Dunie</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Deborah B. Dunie</w:t>
            </w:r>
          </w:p>
        </w:tc>
      </w:tr>
      <w:tr>
        <w:trPr>
          <w:trHeight w:val="405"/>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4"/>
              </w:rPr>
              <w:t>/s/</w:t>
            </w: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center"/>
              <w:ind w:right="1620"/>
              <w:spacing w:after="0"/>
              <w:rPr>
                <w:sz w:val="20"/>
                <w:szCs w:val="20"/>
                <w:color w:val="auto"/>
              </w:rPr>
            </w:pPr>
            <w:r>
              <w:rPr>
                <w:rFonts w:ascii="Arial" w:cs="Arial" w:eastAsia="Arial" w:hAnsi="Arial"/>
                <w:sz w:val="16"/>
                <w:szCs w:val="16"/>
                <w:color w:val="auto"/>
              </w:rPr>
              <w:t>John J. Hamre</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John J. Hamre</w:t>
            </w:r>
          </w:p>
        </w:tc>
      </w:tr>
      <w:tr>
        <w:trPr>
          <w:trHeight w:val="405"/>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Mark J. Johnson</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Mark J. Johnson</w:t>
            </w:r>
          </w:p>
        </w:tc>
      </w:tr>
      <w:tr>
        <w:trPr>
          <w:trHeight w:val="405"/>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David M. Kerko</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David M. Kerko</w:t>
            </w:r>
          </w:p>
        </w:tc>
      </w:tr>
      <w:tr>
        <w:trPr>
          <w:trHeight w:val="405"/>
        </w:trPr>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Timothy J. Mayopoulos</w:t>
            </w:r>
          </w:p>
        </w:tc>
      </w:tr>
      <w:tr>
        <w:trPr>
          <w:trHeight w:val="237"/>
        </w:trPr>
        <w:tc>
          <w:tcPr>
            <w:tcW w:w="4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Timothy J. Mayopoulos</w:t>
            </w:r>
          </w:p>
        </w:tc>
      </w:tr>
      <w:tr>
        <w:trPr>
          <w:trHeight w:val="405"/>
        </w:trPr>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6"/>
                <w:szCs w:val="16"/>
                <w:color w:val="auto"/>
              </w:rPr>
              <w:t>Katharina G. McFarland</w:t>
            </w:r>
          </w:p>
        </w:tc>
      </w:tr>
      <w:tr>
        <w:trPr>
          <w:trHeight w:val="237"/>
        </w:trPr>
        <w:tc>
          <w:tcPr>
            <w:tcW w:w="4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Katharina G. McFarland</w:t>
            </w:r>
          </w:p>
        </w:tc>
      </w:tr>
      <w:tr>
        <w:trPr>
          <w:trHeight w:val="405"/>
        </w:trPr>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Edward J. Sanderson, Jr.</w:t>
            </w:r>
          </w:p>
        </w:tc>
      </w:tr>
      <w:tr>
        <w:trPr>
          <w:trHeight w:val="237"/>
        </w:trPr>
        <w:tc>
          <w:tcPr>
            <w:tcW w:w="4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Edward J. Sanderson, Jr.</w:t>
            </w:r>
          </w:p>
        </w:tc>
      </w:tr>
      <w:tr>
        <w:trPr>
          <w:trHeight w:val="405"/>
        </w:trPr>
        <w:tc>
          <w:tcPr>
            <w:tcW w:w="1840" w:type="dxa"/>
            <w:vAlign w:val="bottom"/>
            <w:tcBorders>
              <w:bottom w:val="single" w:sz="8" w:color="auto"/>
            </w:tcBorders>
            <w:gridSpan w:val="2"/>
          </w:tcPr>
          <w:p>
            <w:pPr>
              <w:ind w:left="1560"/>
              <w:spacing w:after="0"/>
              <w:rPr>
                <w:sz w:val="20"/>
                <w:szCs w:val="20"/>
                <w:color w:val="auto"/>
              </w:rPr>
            </w:pPr>
            <w:r>
              <w:rPr>
                <w:rFonts w:ascii="Arial" w:cs="Arial" w:eastAsia="Arial" w:hAnsi="Arial"/>
                <w:sz w:val="16"/>
                <w:szCs w:val="16"/>
                <w:color w:val="auto"/>
              </w:rPr>
              <w:t>/s/</w:t>
            </w:r>
          </w:p>
        </w:tc>
        <w:tc>
          <w:tcPr>
            <w:tcW w:w="286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Steven R. Shane</w:t>
            </w:r>
          </w:p>
        </w:tc>
      </w:tr>
      <w:tr>
        <w:trPr>
          <w:trHeight w:val="237"/>
        </w:trPr>
        <w:tc>
          <w:tcPr>
            <w:tcW w:w="1580" w:type="dxa"/>
            <w:vAlign w:val="bottom"/>
          </w:tcPr>
          <w:p>
            <w:pPr>
              <w:spacing w:after="0"/>
              <w:rPr>
                <w:sz w:val="20"/>
                <w:szCs w:val="20"/>
                <w:color w:val="auto"/>
              </w:rPr>
            </w:pPr>
          </w:p>
        </w:tc>
        <w:tc>
          <w:tcPr>
            <w:tcW w:w="312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Steven R. Shane</w:t>
            </w: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Principal Executive Officer and 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5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Principal Financial Officer and</w:t>
            </w:r>
          </w:p>
        </w:tc>
        <w:tc>
          <w:tcPr>
            <w:tcW w:w="1700" w:type="dxa"/>
            <w:vAlign w:val="bottom"/>
            <w:gridSpan w:val="3"/>
            <w:vMerge w:val="restart"/>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100"/>
        </w:trPr>
        <w:tc>
          <w:tcPr>
            <w:tcW w:w="3380" w:type="dxa"/>
            <w:vAlign w:val="bottom"/>
            <w:gridSpan w:val="3"/>
            <w:vMerge w:val="restart"/>
          </w:tcPr>
          <w:p>
            <w:pPr>
              <w:jc w:val="center"/>
              <w:ind w:right="560"/>
              <w:spacing w:after="0"/>
              <w:rPr>
                <w:sz w:val="20"/>
                <w:szCs w:val="20"/>
                <w:color w:val="auto"/>
              </w:rPr>
            </w:pPr>
            <w:r>
              <w:rPr>
                <w:rFonts w:ascii="Arial" w:cs="Arial" w:eastAsia="Arial" w:hAnsi="Arial"/>
                <w:sz w:val="16"/>
                <w:szCs w:val="16"/>
                <w:color w:val="auto"/>
              </w:rPr>
              <w:t>Principal Accounting Officer</w:t>
            </w: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Chair of the Board</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75"/>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75"/>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2019</w:t>
            </w:r>
          </w:p>
        </w:tc>
        <w:tc>
          <w:tcPr>
            <w:tcW w:w="0" w:type="dxa"/>
            <w:vAlign w:val="bottom"/>
          </w:tcPr>
          <w:p>
            <w:pPr>
              <w:spacing w:after="0"/>
              <w:rPr>
                <w:sz w:val="1"/>
                <w:szCs w:val="1"/>
                <w:color w:val="auto"/>
              </w:rPr>
            </w:pPr>
          </w:p>
        </w:tc>
      </w:tr>
    </w:tbl>
    <w:p>
      <w:pPr>
        <w:spacing w:after="0" w:line="348" w:lineRule="exact"/>
        <w:rPr>
          <w:sz w:val="20"/>
          <w:szCs w:val="20"/>
          <w:color w:val="auto"/>
        </w:rPr>
      </w:pPr>
    </w:p>
    <w:p>
      <w:pPr>
        <w:sectPr>
          <w:pgSz w:w="11900" w:h="16838" w:orient="portrait"/>
          <w:cols w:equalWidth="0" w:num="2">
            <w:col w:w="4760" w:space="720"/>
            <w:col w:w="5760"/>
          </w:cols>
          <w:pgMar w:left="240" w:top="141" w:right="419" w:bottom="1440" w:gutter="0" w:footer="0" w:header="0"/>
          <w:type w:val="continuous"/>
        </w:sectPr>
      </w:pP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2B4C9B"/>
        </w:rPr>
        <w:t>43</w:t>
      </w:r>
    </w:p>
    <w:p>
      <w:pPr>
        <w:sectPr>
          <w:pgSz w:w="11900" w:h="16838" w:orient="portrait"/>
          <w:cols w:equalWidth="0" w:num="1">
            <w:col w:w="11240"/>
          </w:cols>
          <w:pgMar w:left="240" w:top="141" w:right="41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60" w:type="dxa"/>
            <w:vAlign w:val="bottom"/>
            <w:tcBorders>
              <w:bottom w:val="single" w:sz="8" w:color="2B4C9B"/>
            </w:tcBorders>
            <w:gridSpan w:val="25"/>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560" w:type="dxa"/>
            <w:vAlign w:val="bottom"/>
            <w:tcBorders>
              <w:bottom w:val="single" w:sz="8" w:color="2B4C9B"/>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527"/>
        </w:trPr>
        <w:tc>
          <w:tcPr>
            <w:tcW w:w="28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2B4C9B"/>
              </w:rPr>
            </w:pPr>
            <w:hyperlink w:anchor="page47">
              <w:r>
                <w:rPr>
                  <w:rFonts w:ascii="Arial" w:cs="Arial" w:eastAsia="Arial" w:hAnsi="Arial"/>
                  <w:sz w:val="18"/>
                  <w:szCs w:val="18"/>
                  <w:color w:val="2B4C9B"/>
                </w:rPr>
                <w:t>Report of Independent Registered Public Accounting Firm</w:t>
              </w:r>
            </w:hyperlink>
          </w:p>
        </w:tc>
        <w:tc>
          <w:tcPr>
            <w:tcW w:w="216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47">
              <w:r>
                <w:rPr>
                  <w:rFonts w:ascii="Arial" w:cs="Arial" w:eastAsia="Arial" w:hAnsi="Arial"/>
                  <w:sz w:val="18"/>
                  <w:szCs w:val="18"/>
                  <w:color w:val="2B4C9B"/>
                </w:rPr>
                <w:t>F-2</w:t>
              </w:r>
            </w:hyperlink>
          </w:p>
        </w:tc>
      </w:tr>
      <w:tr>
        <w:trPr>
          <w:trHeight w:val="358"/>
        </w:trPr>
        <w:tc>
          <w:tcPr>
            <w:tcW w:w="280" w:type="dxa"/>
            <w:vAlign w:val="bottom"/>
          </w:tcPr>
          <w:p>
            <w:pPr>
              <w:spacing w:after="0"/>
              <w:rPr>
                <w:sz w:val="24"/>
                <w:szCs w:val="24"/>
                <w:color w:val="auto"/>
              </w:rPr>
            </w:pPr>
          </w:p>
        </w:tc>
        <w:tc>
          <w:tcPr>
            <w:tcW w:w="4600" w:type="dxa"/>
            <w:vAlign w:val="bottom"/>
            <w:tcBorders>
              <w:top w:val="single" w:sz="8" w:color="2B4C9B"/>
            </w:tcBorders>
            <w:gridSpan w:val="18"/>
          </w:tcPr>
          <w:p>
            <w:pPr>
              <w:spacing w:after="0"/>
              <w:rPr>
                <w:rFonts w:ascii="Arial" w:cs="Arial" w:eastAsia="Arial" w:hAnsi="Arial"/>
                <w:sz w:val="18"/>
                <w:szCs w:val="18"/>
                <w:color w:val="2B4C9B"/>
              </w:rPr>
            </w:pPr>
            <w:hyperlink w:anchor="page49">
              <w:r>
                <w:rPr>
                  <w:rFonts w:ascii="Arial" w:cs="Arial" w:eastAsia="Arial" w:hAnsi="Arial"/>
                  <w:sz w:val="18"/>
                  <w:szCs w:val="18"/>
                  <w:color w:val="2B4C9B"/>
                </w:rPr>
                <w:t>Consolidated Statements of Income</w:t>
              </w:r>
            </w:hyperlink>
          </w:p>
        </w:tc>
        <w:tc>
          <w:tcPr>
            <w:tcW w:w="3980" w:type="dxa"/>
            <w:vAlign w:val="bottom"/>
            <w:gridSpan w:val="6"/>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2B4C9B"/>
            </w:tcBorders>
          </w:tcPr>
          <w:p>
            <w:pPr>
              <w:jc w:val="right"/>
              <w:spacing w:after="0"/>
              <w:rPr>
                <w:rFonts w:ascii="Arial" w:cs="Arial" w:eastAsia="Arial" w:hAnsi="Arial"/>
                <w:sz w:val="18"/>
                <w:szCs w:val="18"/>
                <w:color w:val="2B4C9B"/>
                <w:w w:val="96"/>
              </w:rPr>
            </w:pPr>
            <w:hyperlink w:anchor="page49">
              <w:r>
                <w:rPr>
                  <w:rFonts w:ascii="Arial" w:cs="Arial" w:eastAsia="Arial" w:hAnsi="Arial"/>
                  <w:sz w:val="18"/>
                  <w:szCs w:val="18"/>
                  <w:color w:val="2B4C9B"/>
                  <w:w w:val="96"/>
                </w:rPr>
                <w:t>F-4</w:t>
              </w:r>
            </w:hyperlink>
          </w:p>
        </w:tc>
        <w:tc>
          <w:tcPr>
            <w:tcW w:w="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2B4C9B"/>
              </w:rPr>
            </w:pPr>
            <w:hyperlink w:anchor="page50">
              <w:r>
                <w:rPr>
                  <w:rFonts w:ascii="Arial" w:cs="Arial" w:eastAsia="Arial" w:hAnsi="Arial"/>
                  <w:sz w:val="18"/>
                  <w:szCs w:val="18"/>
                  <w:color w:val="2B4C9B"/>
                </w:rPr>
                <w:t>Consolidated Statements of Comprehensive Income</w:t>
              </w:r>
            </w:hyperlink>
          </w:p>
        </w:tc>
        <w:tc>
          <w:tcPr>
            <w:tcW w:w="216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50">
              <w:r>
                <w:rPr>
                  <w:rFonts w:ascii="Arial" w:cs="Arial" w:eastAsia="Arial" w:hAnsi="Arial"/>
                  <w:sz w:val="18"/>
                  <w:szCs w:val="18"/>
                  <w:color w:val="2B4C9B"/>
                </w:rPr>
                <w:t>F-5</w:t>
              </w:r>
            </w:hyperlink>
          </w:p>
        </w:tc>
      </w:tr>
      <w:tr>
        <w:trPr>
          <w:trHeight w:val="358"/>
        </w:trPr>
        <w:tc>
          <w:tcPr>
            <w:tcW w:w="280" w:type="dxa"/>
            <w:vAlign w:val="bottom"/>
          </w:tcPr>
          <w:p>
            <w:pPr>
              <w:spacing w:after="0"/>
              <w:rPr>
                <w:sz w:val="24"/>
                <w:szCs w:val="24"/>
                <w:color w:val="auto"/>
              </w:rPr>
            </w:pPr>
          </w:p>
        </w:tc>
        <w:tc>
          <w:tcPr>
            <w:tcW w:w="2380" w:type="dxa"/>
            <w:vAlign w:val="bottom"/>
            <w:tcBorders>
              <w:top w:val="single" w:sz="8" w:color="2B4C9B"/>
              <w:bottom w:val="single" w:sz="8" w:color="2B4C9B"/>
            </w:tcBorders>
            <w:gridSpan w:val="6"/>
          </w:tcPr>
          <w:p>
            <w:pPr>
              <w:spacing w:after="0"/>
              <w:rPr>
                <w:rFonts w:ascii="Arial" w:cs="Arial" w:eastAsia="Arial" w:hAnsi="Arial"/>
                <w:sz w:val="18"/>
                <w:szCs w:val="18"/>
                <w:color w:val="2B4C9B"/>
                <w:w w:val="99"/>
              </w:rPr>
            </w:pPr>
            <w:hyperlink w:anchor="page51">
              <w:r>
                <w:rPr>
                  <w:rFonts w:ascii="Arial" w:cs="Arial" w:eastAsia="Arial" w:hAnsi="Arial"/>
                  <w:sz w:val="18"/>
                  <w:szCs w:val="18"/>
                  <w:color w:val="2B4C9B"/>
                  <w:w w:val="99"/>
                </w:rPr>
                <w:t>Consolidated Balance Sheets</w:t>
              </w:r>
            </w:hyperlink>
          </w:p>
        </w:tc>
        <w:tc>
          <w:tcPr>
            <w:tcW w:w="1780" w:type="dxa"/>
            <w:vAlign w:val="bottom"/>
            <w:tcBorders>
              <w:top w:val="single" w:sz="8" w:color="2B4C9B"/>
            </w:tcBorders>
            <w:gridSpan w:val="11"/>
          </w:tcPr>
          <w:p>
            <w:pPr>
              <w:spacing w:after="0"/>
              <w:rPr>
                <w:sz w:val="24"/>
                <w:szCs w:val="24"/>
                <w:color w:val="auto"/>
              </w:rPr>
            </w:pPr>
          </w:p>
        </w:tc>
        <w:tc>
          <w:tcPr>
            <w:tcW w:w="4420" w:type="dxa"/>
            <w:vAlign w:val="bottom"/>
            <w:gridSpan w:val="7"/>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2B4C9B"/>
              <w:bottom w:val="single" w:sz="8" w:color="2B4C9B"/>
            </w:tcBorders>
          </w:tcPr>
          <w:p>
            <w:pPr>
              <w:jc w:val="right"/>
              <w:spacing w:after="0"/>
              <w:rPr>
                <w:rFonts w:ascii="Arial" w:cs="Arial" w:eastAsia="Arial" w:hAnsi="Arial"/>
                <w:sz w:val="18"/>
                <w:szCs w:val="18"/>
                <w:color w:val="2B4C9B"/>
                <w:w w:val="96"/>
              </w:rPr>
            </w:pPr>
            <w:hyperlink w:anchor="page51">
              <w:r>
                <w:rPr>
                  <w:rFonts w:ascii="Arial" w:cs="Arial" w:eastAsia="Arial" w:hAnsi="Arial"/>
                  <w:sz w:val="18"/>
                  <w:szCs w:val="18"/>
                  <w:color w:val="2B4C9B"/>
                  <w:w w:val="96"/>
                </w:rPr>
                <w:t>F-6</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760" w:type="dxa"/>
            <w:vAlign w:val="bottom"/>
            <w:tcBorders>
              <w:bottom w:val="single" w:sz="8" w:color="2B4C9B"/>
            </w:tcBorders>
            <w:gridSpan w:val="9"/>
          </w:tcPr>
          <w:p>
            <w:pPr>
              <w:spacing w:after="0"/>
              <w:rPr>
                <w:rFonts w:ascii="Arial" w:cs="Arial" w:eastAsia="Arial" w:hAnsi="Arial"/>
                <w:sz w:val="18"/>
                <w:szCs w:val="18"/>
                <w:color w:val="2B4C9B"/>
                <w:w w:val="99"/>
              </w:rPr>
            </w:pPr>
            <w:hyperlink w:anchor="page52">
              <w:r>
                <w:rPr>
                  <w:rFonts w:ascii="Arial" w:cs="Arial" w:eastAsia="Arial" w:hAnsi="Arial"/>
                  <w:sz w:val="18"/>
                  <w:szCs w:val="18"/>
                  <w:color w:val="2B4C9B"/>
                  <w:w w:val="99"/>
                </w:rPr>
                <w:t>Consolidated Statements of Equity</w:t>
              </w:r>
            </w:hyperlink>
          </w:p>
        </w:tc>
        <w:tc>
          <w:tcPr>
            <w:tcW w:w="5820" w:type="dxa"/>
            <w:vAlign w:val="bottom"/>
            <w:gridSpan w:val="15"/>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2">
              <w:r>
                <w:rPr>
                  <w:rFonts w:ascii="Arial" w:cs="Arial" w:eastAsia="Arial" w:hAnsi="Arial"/>
                  <w:sz w:val="18"/>
                  <w:szCs w:val="18"/>
                  <w:color w:val="2B4C9B"/>
                  <w:w w:val="96"/>
                </w:rPr>
                <w:t>F-7</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3200" w:type="dxa"/>
            <w:vAlign w:val="bottom"/>
            <w:tcBorders>
              <w:bottom w:val="single" w:sz="8" w:color="2B4C9B"/>
            </w:tcBorders>
            <w:gridSpan w:val="12"/>
          </w:tcPr>
          <w:p>
            <w:pPr>
              <w:spacing w:after="0"/>
              <w:rPr>
                <w:rFonts w:ascii="Arial" w:cs="Arial" w:eastAsia="Arial" w:hAnsi="Arial"/>
                <w:sz w:val="18"/>
                <w:szCs w:val="18"/>
                <w:color w:val="2B4C9B"/>
                <w:w w:val="99"/>
              </w:rPr>
            </w:pPr>
            <w:hyperlink w:anchor="page53">
              <w:r>
                <w:rPr>
                  <w:rFonts w:ascii="Arial" w:cs="Arial" w:eastAsia="Arial" w:hAnsi="Arial"/>
                  <w:sz w:val="18"/>
                  <w:szCs w:val="18"/>
                  <w:color w:val="2B4C9B"/>
                  <w:w w:val="99"/>
                </w:rPr>
                <w:t>Consolidated Statements of Cash Flows</w:t>
              </w:r>
            </w:hyperlink>
          </w:p>
        </w:tc>
        <w:tc>
          <w:tcPr>
            <w:tcW w:w="5380" w:type="dxa"/>
            <w:vAlign w:val="bottom"/>
            <w:gridSpan w:val="12"/>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3">
              <w:r>
                <w:rPr>
                  <w:rFonts w:ascii="Arial" w:cs="Arial" w:eastAsia="Arial" w:hAnsi="Arial"/>
                  <w:sz w:val="18"/>
                  <w:szCs w:val="18"/>
                  <w:color w:val="2B4C9B"/>
                  <w:w w:val="96"/>
                </w:rPr>
                <w:t>F-8</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8580" w:type="dxa"/>
            <w:vAlign w:val="bottom"/>
            <w:gridSpan w:val="24"/>
          </w:tcPr>
          <w:p>
            <w:pPr>
              <w:spacing w:after="0"/>
              <w:rPr>
                <w:rFonts w:ascii="Arial" w:cs="Arial" w:eastAsia="Arial" w:hAnsi="Arial"/>
                <w:sz w:val="18"/>
                <w:szCs w:val="18"/>
                <w:color w:val="2B4C9B"/>
              </w:rPr>
            </w:pPr>
            <w:hyperlink w:anchor="page55">
              <w:r>
                <w:rPr>
                  <w:rFonts w:ascii="Arial" w:cs="Arial" w:eastAsia="Arial" w:hAnsi="Arial"/>
                  <w:sz w:val="18"/>
                  <w:szCs w:val="18"/>
                  <w:color w:val="2B4C9B"/>
                </w:rPr>
                <w:t>Notes to the Consolidated Financial Statements</w:t>
              </w:r>
            </w:hyperlink>
          </w:p>
        </w:tc>
        <w:tc>
          <w:tcPr>
            <w:tcW w:w="216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55">
              <w:r>
                <w:rPr>
                  <w:rFonts w:ascii="Arial" w:cs="Arial" w:eastAsia="Arial" w:hAnsi="Arial"/>
                  <w:sz w:val="18"/>
                  <w:szCs w:val="18"/>
                  <w:color w:val="2B4C9B"/>
                </w:rPr>
                <w:t>F-9</w:t>
              </w:r>
            </w:hyperlink>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6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720" w:type="dxa"/>
            <w:vAlign w:val="bottom"/>
            <w:gridSpan w:val="3"/>
            <w:shd w:val="clear" w:color="auto" w:fill="2B4C9B"/>
          </w:tcPr>
          <w:p>
            <w:pPr>
              <w:spacing w:after="0" w:line="20" w:lineRule="exact"/>
              <w:rPr>
                <w:sz w:val="1"/>
                <w:szCs w:val="1"/>
                <w:color w:val="auto"/>
              </w:rPr>
            </w:pPr>
          </w:p>
        </w:tc>
        <w:tc>
          <w:tcPr>
            <w:tcW w:w="220" w:type="dxa"/>
            <w:vAlign w:val="bottom"/>
            <w:gridSpan w:val="2"/>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Borders>
              <w:bottom w:val="single" w:sz="8" w:color="2B4C9B"/>
            </w:tcBorders>
            <w:gridSpan w:val="21"/>
          </w:tcPr>
          <w:p>
            <w:pPr>
              <w:spacing w:after="0"/>
              <w:rPr>
                <w:rFonts w:ascii="Arial" w:cs="Arial" w:eastAsia="Arial" w:hAnsi="Arial"/>
                <w:sz w:val="18"/>
                <w:szCs w:val="18"/>
                <w:color w:val="2B4C9B"/>
                <w:w w:val="99"/>
              </w:rPr>
            </w:pPr>
            <w:hyperlink w:anchor="page55">
              <w:r>
                <w:rPr>
                  <w:rFonts w:ascii="Arial" w:cs="Arial" w:eastAsia="Arial" w:hAnsi="Arial"/>
                  <w:sz w:val="18"/>
                  <w:szCs w:val="18"/>
                  <w:color w:val="2B4C9B"/>
                  <w:w w:val="99"/>
                </w:rPr>
                <w:t>Note 1—Business Overview and Summary of Significant Accounting Policies</w:t>
              </w:r>
            </w:hyperlink>
          </w:p>
        </w:tc>
        <w:tc>
          <w:tcPr>
            <w:tcW w:w="226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5">
              <w:r>
                <w:rPr>
                  <w:rFonts w:ascii="Arial" w:cs="Arial" w:eastAsia="Arial" w:hAnsi="Arial"/>
                  <w:sz w:val="18"/>
                  <w:szCs w:val="18"/>
                  <w:color w:val="2B4C9B"/>
                  <w:w w:val="96"/>
                </w:rPr>
                <w:t>F-9</w:t>
              </w:r>
            </w:hyperlink>
          </w:p>
        </w:tc>
        <w:tc>
          <w:tcPr>
            <w:tcW w:w="2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2B4C9B"/>
            </w:tcBorders>
            <w:gridSpan w:val="19"/>
          </w:tcPr>
          <w:p>
            <w:pPr>
              <w:spacing w:after="0"/>
              <w:rPr>
                <w:rFonts w:ascii="Arial" w:cs="Arial" w:eastAsia="Arial" w:hAnsi="Arial"/>
                <w:sz w:val="18"/>
                <w:szCs w:val="18"/>
                <w:color w:val="2B4C9B"/>
                <w:w w:val="99"/>
              </w:rPr>
            </w:pPr>
            <w:hyperlink w:anchor="page63">
              <w:r>
                <w:rPr>
                  <w:rFonts w:ascii="Arial" w:cs="Arial" w:eastAsia="Arial" w:hAnsi="Arial"/>
                  <w:sz w:val="18"/>
                  <w:szCs w:val="18"/>
                  <w:color w:val="2B4C9B"/>
                  <w:w w:val="99"/>
                </w:rPr>
                <w:t>Note 2—Earnings Per Share, Share Repurchases and Dividends</w:t>
              </w:r>
            </w:hyperlink>
          </w:p>
        </w:tc>
        <w:tc>
          <w:tcPr>
            <w:tcW w:w="3200" w:type="dxa"/>
            <w:vAlign w:val="bottom"/>
            <w:gridSpan w:val="4"/>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3">
              <w:r>
                <w:rPr>
                  <w:rFonts w:ascii="Arial" w:cs="Arial" w:eastAsia="Arial" w:hAnsi="Arial"/>
                  <w:sz w:val="18"/>
                  <w:szCs w:val="18"/>
                  <w:color w:val="2B4C9B"/>
                  <w:w w:val="97"/>
                </w:rPr>
                <w:t>F-17</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64">
              <w:r>
                <w:rPr>
                  <w:rFonts w:ascii="Arial" w:cs="Arial" w:eastAsia="Arial" w:hAnsi="Arial"/>
                  <w:sz w:val="18"/>
                  <w:szCs w:val="18"/>
                  <w:color w:val="2B4C9B"/>
                </w:rPr>
                <w:t>Note 3—Revenue</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64">
              <w:r>
                <w:rPr>
                  <w:rFonts w:ascii="Arial" w:cs="Arial" w:eastAsia="Arial" w:hAnsi="Arial"/>
                  <w:sz w:val="18"/>
                  <w:szCs w:val="18"/>
                  <w:color w:val="2B4C9B"/>
                </w:rPr>
                <w:t>F-18</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69">
              <w:r>
                <w:rPr>
                  <w:rFonts w:ascii="Arial" w:cs="Arial" w:eastAsia="Arial" w:hAnsi="Arial"/>
                  <w:sz w:val="18"/>
                  <w:szCs w:val="18"/>
                  <w:color w:val="2B4C9B"/>
                </w:rPr>
                <w:t>Note 4—Engility Acquisition</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69">
              <w:r>
                <w:rPr>
                  <w:rFonts w:ascii="Arial" w:cs="Arial" w:eastAsia="Arial" w:hAnsi="Arial"/>
                  <w:sz w:val="18"/>
                  <w:szCs w:val="18"/>
                  <w:color w:val="2B4C9B"/>
                </w:rPr>
                <w:t>F-23</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71">
              <w:r>
                <w:rPr>
                  <w:rFonts w:ascii="Arial" w:cs="Arial" w:eastAsia="Arial" w:hAnsi="Arial"/>
                  <w:sz w:val="18"/>
                  <w:szCs w:val="18"/>
                  <w:color w:val="2B4C9B"/>
                </w:rPr>
                <w:t>Note 5—Goodwill and Intangible Assets</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71">
              <w:r>
                <w:rPr>
                  <w:rFonts w:ascii="Arial" w:cs="Arial" w:eastAsia="Arial" w:hAnsi="Arial"/>
                  <w:sz w:val="18"/>
                  <w:szCs w:val="18"/>
                  <w:color w:val="2B4C9B"/>
                </w:rPr>
                <w:t>F-25</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80" w:type="dxa"/>
            <w:vAlign w:val="bottom"/>
            <w:gridSpan w:val="3"/>
            <w:shd w:val="clear" w:color="auto" w:fill="2B4C9B"/>
          </w:tcPr>
          <w:p>
            <w:pPr>
              <w:spacing w:after="0" w:line="20" w:lineRule="exact"/>
              <w:rPr>
                <w:sz w:val="1"/>
                <w:szCs w:val="1"/>
                <w:color w:val="auto"/>
              </w:rPr>
            </w:pPr>
          </w:p>
        </w:tc>
        <w:tc>
          <w:tcPr>
            <w:tcW w:w="720" w:type="dxa"/>
            <w:vAlign w:val="bottom"/>
            <w:gridSpan w:val="3"/>
            <w:shd w:val="clear" w:color="auto" w:fill="2B4C9B"/>
          </w:tcPr>
          <w:p>
            <w:pPr>
              <w:spacing w:after="0" w:line="20" w:lineRule="exact"/>
              <w:rPr>
                <w:sz w:val="1"/>
                <w:szCs w:val="1"/>
                <w:color w:val="auto"/>
              </w:rPr>
            </w:pPr>
          </w:p>
        </w:tc>
        <w:tc>
          <w:tcPr>
            <w:tcW w:w="220" w:type="dxa"/>
            <w:vAlign w:val="bottom"/>
            <w:gridSpan w:val="2"/>
            <w:shd w:val="clear" w:color="auto" w:fill="2B4C9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Borders>
              <w:bottom w:val="single" w:sz="8" w:color="2B4C9B"/>
            </w:tcBorders>
            <w:gridSpan w:val="13"/>
          </w:tcPr>
          <w:p>
            <w:pPr>
              <w:spacing w:after="0"/>
              <w:rPr>
                <w:rFonts w:ascii="Arial" w:cs="Arial" w:eastAsia="Arial" w:hAnsi="Arial"/>
                <w:sz w:val="18"/>
                <w:szCs w:val="18"/>
                <w:color w:val="2B4C9B"/>
                <w:w w:val="99"/>
              </w:rPr>
            </w:pPr>
            <w:hyperlink w:anchor="page72">
              <w:r>
                <w:rPr>
                  <w:rFonts w:ascii="Arial" w:cs="Arial" w:eastAsia="Arial" w:hAnsi="Arial"/>
                  <w:sz w:val="18"/>
                  <w:szCs w:val="18"/>
                  <w:color w:val="2B4C9B"/>
                  <w:w w:val="99"/>
                </w:rPr>
                <w:t>Note 6—Property, Plant, and Equipment</w:t>
              </w:r>
            </w:hyperlink>
          </w:p>
        </w:tc>
        <w:tc>
          <w:tcPr>
            <w:tcW w:w="5160" w:type="dxa"/>
            <w:vAlign w:val="bottom"/>
            <w:gridSpan w:val="10"/>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2">
              <w:r>
                <w:rPr>
                  <w:rFonts w:ascii="Arial" w:cs="Arial" w:eastAsia="Arial" w:hAnsi="Arial"/>
                  <w:sz w:val="18"/>
                  <w:szCs w:val="18"/>
                  <w:color w:val="2B4C9B"/>
                  <w:w w:val="97"/>
                </w:rPr>
                <w:t>F-26</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Borders>
              <w:bottom w:val="single" w:sz="8" w:color="2B4C9B"/>
            </w:tcBorders>
            <w:gridSpan w:val="10"/>
          </w:tcPr>
          <w:p>
            <w:pPr>
              <w:spacing w:after="0"/>
              <w:rPr>
                <w:rFonts w:ascii="Arial" w:cs="Arial" w:eastAsia="Arial" w:hAnsi="Arial"/>
                <w:sz w:val="18"/>
                <w:szCs w:val="18"/>
                <w:color w:val="2B4C9B"/>
                <w:w w:val="99"/>
              </w:rPr>
            </w:pPr>
            <w:hyperlink w:anchor="page73">
              <w:r>
                <w:rPr>
                  <w:rFonts w:ascii="Arial" w:cs="Arial" w:eastAsia="Arial" w:hAnsi="Arial"/>
                  <w:sz w:val="18"/>
                  <w:szCs w:val="18"/>
                  <w:color w:val="2B4C9B"/>
                  <w:w w:val="99"/>
                </w:rPr>
                <w:t>Note 7—Stock-Based Compensation</w:t>
              </w:r>
            </w:hyperlink>
          </w:p>
        </w:tc>
        <w:tc>
          <w:tcPr>
            <w:tcW w:w="5420" w:type="dxa"/>
            <w:vAlign w:val="bottom"/>
            <w:gridSpan w:val="13"/>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3">
              <w:r>
                <w:rPr>
                  <w:rFonts w:ascii="Arial" w:cs="Arial" w:eastAsia="Arial" w:hAnsi="Arial"/>
                  <w:sz w:val="18"/>
                  <w:szCs w:val="18"/>
                  <w:color w:val="2B4C9B"/>
                  <w:w w:val="97"/>
                </w:rPr>
                <w:t>F-27</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77">
              <w:r>
                <w:rPr>
                  <w:rFonts w:ascii="Arial" w:cs="Arial" w:eastAsia="Arial" w:hAnsi="Arial"/>
                  <w:sz w:val="18"/>
                  <w:szCs w:val="18"/>
                  <w:color w:val="2B4C9B"/>
                </w:rPr>
                <w:t>Note 8—Retirement Plans</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77">
              <w:r>
                <w:rPr>
                  <w:rFonts w:ascii="Arial" w:cs="Arial" w:eastAsia="Arial" w:hAnsi="Arial"/>
                  <w:sz w:val="18"/>
                  <w:szCs w:val="18"/>
                  <w:color w:val="2B4C9B"/>
                </w:rPr>
                <w:t>F-31</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top w:val="single" w:sz="8" w:color="2B4C9B"/>
              <w:bottom w:val="single" w:sz="8" w:color="2B4C9B"/>
            </w:tcBorders>
            <w:gridSpan w:val="2"/>
          </w:tcPr>
          <w:p>
            <w:pPr>
              <w:spacing w:after="0"/>
              <w:rPr>
                <w:rFonts w:ascii="Arial" w:cs="Arial" w:eastAsia="Arial" w:hAnsi="Arial"/>
                <w:sz w:val="18"/>
                <w:szCs w:val="18"/>
                <w:color w:val="2B4C9B"/>
                <w:w w:val="97"/>
              </w:rPr>
            </w:pPr>
            <w:hyperlink w:anchor="page79">
              <w:r>
                <w:rPr>
                  <w:rFonts w:ascii="Arial" w:cs="Arial" w:eastAsia="Arial" w:hAnsi="Arial"/>
                  <w:sz w:val="18"/>
                  <w:szCs w:val="18"/>
                  <w:color w:val="2B4C9B"/>
                  <w:w w:val="97"/>
                </w:rPr>
                <w:t>Note 9—Income Taxes</w:t>
              </w:r>
            </w:hyperlink>
          </w:p>
        </w:tc>
        <w:tc>
          <w:tcPr>
            <w:tcW w:w="260" w:type="dxa"/>
            <w:vAlign w:val="bottom"/>
            <w:tcBorders>
              <w:top w:val="single" w:sz="8" w:color="2B4C9B"/>
            </w:tcBorders>
          </w:tcPr>
          <w:p>
            <w:pPr>
              <w:spacing w:after="0"/>
              <w:rPr>
                <w:sz w:val="20"/>
                <w:szCs w:val="20"/>
                <w:color w:val="auto"/>
              </w:rPr>
            </w:pPr>
          </w:p>
        </w:tc>
        <w:tc>
          <w:tcPr>
            <w:tcW w:w="6280" w:type="dxa"/>
            <w:vAlign w:val="bottom"/>
            <w:gridSpan w:val="20"/>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top w:val="single" w:sz="8" w:color="2B4C9B"/>
              <w:bottom w:val="single" w:sz="8" w:color="2B4C9B"/>
            </w:tcBorders>
            <w:gridSpan w:val="2"/>
          </w:tcPr>
          <w:p>
            <w:pPr>
              <w:jc w:val="right"/>
              <w:spacing w:after="0"/>
              <w:rPr>
                <w:rFonts w:ascii="Arial" w:cs="Arial" w:eastAsia="Arial" w:hAnsi="Arial"/>
                <w:sz w:val="18"/>
                <w:szCs w:val="18"/>
                <w:color w:val="2B4C9B"/>
                <w:w w:val="97"/>
              </w:rPr>
            </w:pPr>
            <w:hyperlink w:anchor="page79">
              <w:r>
                <w:rPr>
                  <w:rFonts w:ascii="Arial" w:cs="Arial" w:eastAsia="Arial" w:hAnsi="Arial"/>
                  <w:sz w:val="18"/>
                  <w:szCs w:val="18"/>
                  <w:color w:val="2B4C9B"/>
                  <w:w w:val="97"/>
                </w:rPr>
                <w:t>F-33</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bottom w:val="single" w:sz="8" w:color="2B4C9B"/>
            </w:tcBorders>
            <w:gridSpan w:val="4"/>
          </w:tcPr>
          <w:p>
            <w:pPr>
              <w:spacing w:after="0"/>
              <w:rPr>
                <w:rFonts w:ascii="Arial" w:cs="Arial" w:eastAsia="Arial" w:hAnsi="Arial"/>
                <w:sz w:val="18"/>
                <w:szCs w:val="18"/>
                <w:color w:val="2B4C9B"/>
                <w:w w:val="98"/>
              </w:rPr>
            </w:pPr>
            <w:hyperlink w:anchor="page82">
              <w:r>
                <w:rPr>
                  <w:rFonts w:ascii="Arial" w:cs="Arial" w:eastAsia="Arial" w:hAnsi="Arial"/>
                  <w:sz w:val="18"/>
                  <w:szCs w:val="18"/>
                  <w:color w:val="2B4C9B"/>
                  <w:w w:val="98"/>
                </w:rPr>
                <w:t>Note 10—Debt Obligations</w:t>
              </w:r>
            </w:hyperlink>
          </w:p>
        </w:tc>
        <w:tc>
          <w:tcPr>
            <w:tcW w:w="6220" w:type="dxa"/>
            <w:vAlign w:val="bottom"/>
            <w:gridSpan w:val="19"/>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82">
              <w:r>
                <w:rPr>
                  <w:rFonts w:ascii="Arial" w:cs="Arial" w:eastAsia="Arial" w:hAnsi="Arial"/>
                  <w:sz w:val="18"/>
                  <w:szCs w:val="18"/>
                  <w:color w:val="2B4C9B"/>
                  <w:w w:val="97"/>
                </w:rPr>
                <w:t>F-36</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85">
              <w:r>
                <w:rPr>
                  <w:rFonts w:ascii="Arial" w:cs="Arial" w:eastAsia="Arial" w:hAnsi="Arial"/>
                  <w:sz w:val="18"/>
                  <w:szCs w:val="18"/>
                  <w:color w:val="2B4C9B"/>
                </w:rPr>
                <w:t>Note 11—Derivative Instruments Designated as Cash Flow Hedges</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85">
              <w:r>
                <w:rPr>
                  <w:rFonts w:ascii="Arial" w:cs="Arial" w:eastAsia="Arial" w:hAnsi="Arial"/>
                  <w:sz w:val="18"/>
                  <w:szCs w:val="18"/>
                  <w:color w:val="2B4C9B"/>
                </w:rPr>
                <w:t>F-39</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7"/>
            <w:shd w:val="clear" w:color="auto" w:fill="2B4C9B"/>
          </w:tcPr>
          <w:p>
            <w:pPr>
              <w:spacing w:after="0" w:line="20" w:lineRule="exact"/>
              <w:rPr>
                <w:sz w:val="1"/>
                <w:szCs w:val="1"/>
                <w:color w:val="auto"/>
              </w:rPr>
            </w:pPr>
          </w:p>
        </w:tc>
        <w:tc>
          <w:tcPr>
            <w:tcW w:w="1040" w:type="dxa"/>
            <w:vAlign w:val="bottom"/>
            <w:gridSpan w:val="7"/>
            <w:shd w:val="clear" w:color="auto" w:fill="2B4C9B"/>
          </w:tcPr>
          <w:p>
            <w:pPr>
              <w:spacing w:after="0" w:line="20" w:lineRule="exact"/>
              <w:rPr>
                <w:sz w:val="1"/>
                <w:szCs w:val="1"/>
                <w:color w:val="auto"/>
              </w:rPr>
            </w:pPr>
          </w:p>
        </w:tc>
        <w:tc>
          <w:tcPr>
            <w:tcW w:w="1220" w:type="dxa"/>
            <w:vAlign w:val="bottom"/>
            <w:gridSpan w:val="4"/>
            <w:shd w:val="clear" w:color="auto" w:fill="2B4C9B"/>
          </w:tcPr>
          <w:p>
            <w:pPr>
              <w:spacing w:after="0" w:line="20" w:lineRule="exact"/>
              <w:rPr>
                <w:sz w:val="1"/>
                <w:szCs w:val="1"/>
                <w:color w:val="auto"/>
              </w:rPr>
            </w:pPr>
          </w:p>
        </w:tc>
        <w:tc>
          <w:tcPr>
            <w:tcW w:w="880" w:type="dxa"/>
            <w:vAlign w:val="bottom"/>
            <w:tcBorders>
              <w:right w:val="single" w:sz="8" w:color="2B4C9B"/>
            </w:tcBorders>
            <w:gridSpan w:val="2"/>
            <w:shd w:val="clear" w:color="auto" w:fill="2B4C9B"/>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86">
              <w:r>
                <w:rPr>
                  <w:rFonts w:ascii="Arial" w:cs="Arial" w:eastAsia="Arial" w:hAnsi="Arial"/>
                  <w:sz w:val="18"/>
                  <w:szCs w:val="18"/>
                  <w:color w:val="2B4C9B"/>
                </w:rPr>
                <w:t>Note 12—Changes in Accumulated Other Comprehensive Loss by Component</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86">
              <w:r>
                <w:rPr>
                  <w:rFonts w:ascii="Arial" w:cs="Arial" w:eastAsia="Arial" w:hAnsi="Arial"/>
                  <w:sz w:val="18"/>
                  <w:szCs w:val="18"/>
                  <w:color w:val="2B4C9B"/>
                </w:rPr>
                <w:t>F-40</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Borders>
              <w:top w:val="single" w:sz="8" w:color="2B4C9B"/>
            </w:tcBorders>
            <w:gridSpan w:val="22"/>
          </w:tcPr>
          <w:p>
            <w:pPr>
              <w:spacing w:after="0"/>
              <w:rPr>
                <w:rFonts w:ascii="Arial" w:cs="Arial" w:eastAsia="Arial" w:hAnsi="Arial"/>
                <w:sz w:val="18"/>
                <w:szCs w:val="18"/>
                <w:color w:val="2B4C9B"/>
              </w:rPr>
            </w:pPr>
            <w:hyperlink w:anchor="page86">
              <w:r>
                <w:rPr>
                  <w:rFonts w:ascii="Arial" w:cs="Arial" w:eastAsia="Arial" w:hAnsi="Arial"/>
                  <w:sz w:val="18"/>
                  <w:szCs w:val="18"/>
                  <w:color w:val="2B4C9B"/>
                </w:rPr>
                <w:t>Note 13—Operating Leases</w:t>
              </w:r>
            </w:hyperlink>
          </w:p>
        </w:tc>
        <w:tc>
          <w:tcPr>
            <w:tcW w:w="2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86">
              <w:r>
                <w:rPr>
                  <w:rFonts w:ascii="Arial" w:cs="Arial" w:eastAsia="Arial" w:hAnsi="Arial"/>
                  <w:sz w:val="18"/>
                  <w:szCs w:val="18"/>
                  <w:color w:val="2B4C9B"/>
                  <w:w w:val="97"/>
                </w:rPr>
                <w:t>F-40</w:t>
              </w:r>
            </w:hyperlink>
          </w:p>
        </w:tc>
        <w:tc>
          <w:tcPr>
            <w:tcW w:w="2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7"/>
            <w:shd w:val="clear" w:color="auto" w:fill="2B4C9B"/>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Borders>
              <w:bottom w:val="single" w:sz="8" w:color="2B4C9B"/>
            </w:tcBorders>
            <w:gridSpan w:val="14"/>
          </w:tcPr>
          <w:p>
            <w:pPr>
              <w:spacing w:after="0"/>
              <w:rPr>
                <w:rFonts w:ascii="Arial" w:cs="Arial" w:eastAsia="Arial" w:hAnsi="Arial"/>
                <w:sz w:val="18"/>
                <w:szCs w:val="18"/>
                <w:color w:val="2B4C9B"/>
                <w:w w:val="99"/>
              </w:rPr>
            </w:pPr>
            <w:hyperlink w:anchor="page87">
              <w:r>
                <w:rPr>
                  <w:rFonts w:ascii="Arial" w:cs="Arial" w:eastAsia="Arial" w:hAnsi="Arial"/>
                  <w:sz w:val="18"/>
                  <w:szCs w:val="18"/>
                  <w:color w:val="2B4C9B"/>
                  <w:w w:val="99"/>
                </w:rPr>
                <w:t>Note 14—Business Segment Information</w:t>
              </w:r>
            </w:hyperlink>
          </w:p>
        </w:tc>
        <w:tc>
          <w:tcPr>
            <w:tcW w:w="5100" w:type="dxa"/>
            <w:vAlign w:val="bottom"/>
            <w:gridSpan w:val="9"/>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87">
              <w:r>
                <w:rPr>
                  <w:rFonts w:ascii="Arial" w:cs="Arial" w:eastAsia="Arial" w:hAnsi="Arial"/>
                  <w:sz w:val="18"/>
                  <w:szCs w:val="18"/>
                  <w:color w:val="2B4C9B"/>
                  <w:w w:val="97"/>
                </w:rPr>
                <w:t>F-41</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60" w:type="dxa"/>
            <w:vAlign w:val="bottom"/>
            <w:gridSpan w:val="23"/>
          </w:tcPr>
          <w:p>
            <w:pPr>
              <w:spacing w:after="0"/>
              <w:rPr>
                <w:rFonts w:ascii="Arial" w:cs="Arial" w:eastAsia="Arial" w:hAnsi="Arial"/>
                <w:sz w:val="18"/>
                <w:szCs w:val="18"/>
                <w:color w:val="2B4C9B"/>
              </w:rPr>
            </w:pPr>
            <w:hyperlink w:anchor="page87">
              <w:r>
                <w:rPr>
                  <w:rFonts w:ascii="Arial" w:cs="Arial" w:eastAsia="Arial" w:hAnsi="Arial"/>
                  <w:sz w:val="18"/>
                  <w:szCs w:val="18"/>
                  <w:color w:val="2B4C9B"/>
                </w:rPr>
                <w:t>Note 15—Legal Proceedings and Commitments and Contingencies</w:t>
              </w:r>
            </w:hyperlink>
          </w:p>
        </w:tc>
        <w:tc>
          <w:tcPr>
            <w:tcW w:w="2560" w:type="dxa"/>
            <w:vAlign w:val="bottom"/>
            <w:gridSpan w:val="4"/>
          </w:tcPr>
          <w:p>
            <w:pPr>
              <w:jc w:val="right"/>
              <w:ind w:right="20"/>
              <w:spacing w:after="0"/>
              <w:rPr>
                <w:rFonts w:ascii="Arial" w:cs="Arial" w:eastAsia="Arial" w:hAnsi="Arial"/>
                <w:sz w:val="18"/>
                <w:szCs w:val="18"/>
                <w:color w:val="2B4C9B"/>
              </w:rPr>
            </w:pPr>
            <w:hyperlink w:anchor="page87">
              <w:r>
                <w:rPr>
                  <w:rFonts w:ascii="Arial" w:cs="Arial" w:eastAsia="Arial" w:hAnsi="Arial"/>
                  <w:sz w:val="18"/>
                  <w:szCs w:val="18"/>
                  <w:color w:val="2B4C9B"/>
                </w:rPr>
                <w:t>F-41</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Borders>
              <w:top w:val="single" w:sz="8" w:color="2B4C9B"/>
            </w:tcBorders>
            <w:gridSpan w:val="20"/>
          </w:tcPr>
          <w:p>
            <w:pPr>
              <w:spacing w:after="0"/>
              <w:rPr>
                <w:rFonts w:ascii="Arial" w:cs="Arial" w:eastAsia="Arial" w:hAnsi="Arial"/>
                <w:sz w:val="18"/>
                <w:szCs w:val="18"/>
                <w:color w:val="2B4C9B"/>
              </w:rPr>
            </w:pPr>
            <w:hyperlink w:anchor="page89">
              <w:r>
                <w:rPr>
                  <w:rFonts w:ascii="Arial" w:cs="Arial" w:eastAsia="Arial" w:hAnsi="Arial"/>
                  <w:sz w:val="18"/>
                  <w:szCs w:val="18"/>
                  <w:color w:val="2B4C9B"/>
                </w:rPr>
                <w:t>Note 16—Selected Quarterly Financial Data (Unaudited)</w:t>
              </w:r>
            </w:hyperlink>
          </w:p>
        </w:tc>
        <w:tc>
          <w:tcPr>
            <w:tcW w:w="3000" w:type="dxa"/>
            <w:vAlign w:val="bottom"/>
            <w:gridSpan w:val="3"/>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89">
              <w:r>
                <w:rPr>
                  <w:rFonts w:ascii="Arial" w:cs="Arial" w:eastAsia="Arial" w:hAnsi="Arial"/>
                  <w:sz w:val="18"/>
                  <w:szCs w:val="18"/>
                  <w:color w:val="2B4C9B"/>
                  <w:w w:val="97"/>
                </w:rPr>
                <w:t>F-43</w:t>
              </w:r>
            </w:hyperlink>
          </w:p>
        </w:tc>
        <w:tc>
          <w:tcPr>
            <w:tcW w:w="2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w:t>
      </w:r>
    </w:p>
    <w:p>
      <w:pPr>
        <w:sectPr>
          <w:pgSz w:w="11900" w:h="16838" w:orient="portrait"/>
          <w:cols w:equalWidth="0" w:num="1">
            <w:col w:w="11420"/>
          </w:cols>
          <w:pgMar w:left="240" w:top="657" w:right="239" w:bottom="1440" w:gutter="0" w:footer="0" w:header="0"/>
        </w:sectPr>
      </w:pPr>
    </w:p>
    <w:bookmarkStart w:id="46" w:name="page47"/>
    <w:bookmarkEnd w:id="4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 of Science Applications International Corporation (the Company) as of February 1, 2019, the related consolidated statements of income, comprehensive income, equity, and cash flows for the year ended February 1, 2019, and the related notes (collectively referred to as the "consolidated financial statements"). In our opinion, the consolidated financial statements present fairly, in all material respects, the consolidated financial position of the Company as of February 1, 2019, and the consolidated results of its operations and its cash flows for the year ended February 1, 2019, in conformity with U.S. generally accepted accounting principles.</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1, 2019, based on criteria established in Internal Control-Integrated Framework issued by the Committee of Sponsoring Organizations of the Treadway Commission (2013 framework) and our report dated March 29, 2019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B4C9B"/>
        </w:rPr>
        <w:t>F-2</w:t>
      </w:r>
    </w:p>
    <w:p>
      <w:pPr>
        <w:sectPr>
          <w:pgSz w:w="11900" w:h="16838" w:orient="portrait"/>
          <w:cols w:equalWidth="0" w:num="1">
            <w:col w:w="11340"/>
          </w:cols>
          <w:pgMar w:left="240" w:top="141" w:right="319" w:bottom="1440" w:gutter="0" w:footer="0" w:header="0"/>
        </w:sectPr>
      </w:pPr>
    </w:p>
    <w:bookmarkStart w:id="47" w:name="page48"/>
    <w:bookmarkEnd w:id="4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 of Science Applications International Corporation and subsidiaries (the "Company") as of February 2, 2018, the related consolidated statements of income and comprehensive income, equity, and cash flows, for each of the two years in the period ended February 2, 2018, and the related notes (collectively referred to as the “financial statements”). In our opinion, the financial statements present fairly, in all material respects, the financial position of the Company as of February 2, 2018, and the results of its operations and its cash flows for each of the two years in the period ended February 2, 2018,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fiscal 2013. In 2018 we became the predecessor auditor.</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B4C9B"/>
        </w:rPr>
        <w:t>F-3</w:t>
      </w:r>
    </w:p>
    <w:p>
      <w:pPr>
        <w:sectPr>
          <w:pgSz w:w="11900" w:h="16838" w:orient="portrait"/>
          <w:cols w:equalWidth="0" w:num="1">
            <w:col w:w="11320"/>
          </w:cols>
          <w:pgMar w:left="240" w:top="141" w:right="339" w:bottom="1440" w:gutter="0" w:footer="0" w:header="0"/>
        </w:sectPr>
      </w:pPr>
    </w:p>
    <w:bookmarkStart w:id="48" w:name="page49"/>
    <w:bookmarkEnd w:id="4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12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50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2B4C9B"/>
              </w:rPr>
              <w:t>February 1,</w:t>
            </w:r>
          </w:p>
        </w:tc>
        <w:tc>
          <w:tcPr>
            <w:tcW w:w="240" w:type="dxa"/>
            <w:vAlign w:val="bottom"/>
          </w:tcPr>
          <w:p>
            <w:pPr>
              <w:spacing w:after="0"/>
              <w:rPr>
                <w:sz w:val="15"/>
                <w:szCs w:val="15"/>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color w:val="auto"/>
              </w:rPr>
              <w:t>February 2,</w:t>
            </w:r>
          </w:p>
        </w:tc>
        <w:tc>
          <w:tcPr>
            <w:tcW w:w="50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February 3,</w:t>
            </w:r>
          </w:p>
        </w:tc>
      </w:tr>
      <w:tr>
        <w:trPr>
          <w:trHeight w:val="196"/>
        </w:trPr>
        <w:tc>
          <w:tcPr>
            <w:tcW w:w="672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b w:val="1"/>
                <w:bCs w:val="1"/>
                <w:color w:val="2B4C9B"/>
              </w:rPr>
              <w:t>2019</w:t>
            </w:r>
          </w:p>
        </w:tc>
        <w:tc>
          <w:tcPr>
            <w:tcW w:w="12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2B4C9B"/>
            </w:tcBorders>
          </w:tcPr>
          <w:p>
            <w:pPr>
              <w:spacing w:after="0"/>
              <w:rPr>
                <w:sz w:val="17"/>
                <w:szCs w:val="17"/>
                <w:color w:val="auto"/>
              </w:rPr>
            </w:pPr>
          </w:p>
        </w:tc>
        <w:tc>
          <w:tcPr>
            <w:tcW w:w="50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2017</w:t>
            </w:r>
          </w:p>
        </w:tc>
      </w:tr>
      <w:tr>
        <w:trPr>
          <w:trHeight w:val="264"/>
        </w:trPr>
        <w:tc>
          <w:tcPr>
            <w:tcW w:w="6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gridSpan w:val="6"/>
          </w:tcPr>
          <w:p>
            <w:pPr>
              <w:jc w:val="center"/>
              <w:ind w:left="593"/>
              <w:spacing w:after="0"/>
              <w:rPr>
                <w:sz w:val="20"/>
                <w:szCs w:val="20"/>
                <w:color w:val="auto"/>
              </w:rPr>
            </w:pPr>
            <w:r>
              <w:rPr>
                <w:rFonts w:ascii="Arial" w:cs="Arial" w:eastAsia="Arial" w:hAnsi="Arial"/>
                <w:sz w:val="14"/>
                <w:szCs w:val="14"/>
                <w:color w:val="auto"/>
              </w:rPr>
              <w:t>(in millions, except per share amounts)</w:t>
            </w:r>
          </w:p>
        </w:tc>
        <w:tc>
          <w:tcPr>
            <w:tcW w:w="1000" w:type="dxa"/>
            <w:vAlign w:val="bottom"/>
          </w:tcPr>
          <w:p>
            <w:pPr>
              <w:spacing w:after="0"/>
              <w:rPr>
                <w:sz w:val="22"/>
                <w:szCs w:val="22"/>
                <w:color w:val="auto"/>
              </w:rPr>
            </w:pP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4,659</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4,442</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4,195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4,003</w:t>
            </w:r>
          </w:p>
        </w:tc>
      </w:tr>
      <w:tr>
        <w:trPr>
          <w:trHeight w:val="277"/>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158</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Acquisition and integration costs (Note 4)</w:t>
            </w:r>
          </w:p>
        </w:tc>
        <w:tc>
          <w:tcPr>
            <w:tcW w:w="3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86</w:t>
            </w:r>
          </w:p>
        </w:tc>
        <w:tc>
          <w:tcPr>
            <w:tcW w:w="120" w:type="dxa"/>
            <w:vAlign w:val="bottom"/>
            <w:tcBorders>
              <w:bottom w:val="single" w:sz="8" w:color="2B4C9B"/>
            </w:tcBorders>
          </w:tcPr>
          <w:p>
            <w:pPr>
              <w:spacing w:after="0"/>
              <w:rPr>
                <w:sz w:val="22"/>
                <w:szCs w:val="22"/>
                <w:color w:val="auto"/>
              </w:rPr>
            </w:pPr>
          </w:p>
        </w:tc>
        <w:tc>
          <w:tcPr>
            <w:tcW w:w="24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10</w:t>
            </w:r>
          </w:p>
        </w:tc>
      </w:tr>
      <w:tr>
        <w:trPr>
          <w:trHeight w:val="270"/>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220</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263</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c>
          <w:tcPr>
            <w:tcW w:w="120" w:type="dxa"/>
            <w:vAlign w:val="bottom"/>
            <w:tcBorders>
              <w:bottom w:val="single" w:sz="8" w:color="2B4C9B"/>
            </w:tcBorders>
            <w:shd w:val="clear" w:color="auto" w:fill="CFF0FC"/>
          </w:tcPr>
          <w:p>
            <w:pPr>
              <w:spacing w:after="0"/>
              <w:rPr>
                <w:sz w:val="23"/>
                <w:szCs w:val="23"/>
                <w:color w:val="auto"/>
              </w:rPr>
            </w:pPr>
          </w:p>
        </w:tc>
        <w:tc>
          <w:tcPr>
            <w:tcW w:w="2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2B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170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Provision for income taxes (Note 9)</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(33)</w:t>
            </w:r>
          </w:p>
        </w:tc>
        <w:tc>
          <w:tcPr>
            <w:tcW w:w="120" w:type="dxa"/>
            <w:vAlign w:val="bottom"/>
            <w:tcBorders>
              <w:bottom w:val="single" w:sz="8" w:color="2A4C9B"/>
            </w:tcBorders>
            <w:shd w:val="clear" w:color="auto" w:fill="CFF0FC"/>
          </w:tcPr>
          <w:p>
            <w:pPr>
              <w:spacing w:after="0"/>
              <w:rPr>
                <w:sz w:val="23"/>
                <w:szCs w:val="23"/>
                <w:color w:val="auto"/>
              </w:rPr>
            </w:pPr>
          </w:p>
        </w:tc>
        <w:tc>
          <w:tcPr>
            <w:tcW w:w="2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2A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137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143</w:t>
            </w:r>
          </w:p>
        </w:tc>
      </w:tr>
      <w:tr>
        <w:trPr>
          <w:trHeight w:val="270"/>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shd w:val="clear" w:color="auto" w:fill="CFF0FC"/>
          </w:tcPr>
          <w:p>
            <w:pPr>
              <w:spacing w:after="0"/>
              <w:rPr>
                <w:sz w:val="23"/>
                <w:szCs w:val="23"/>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2B4C9B"/>
              </w:rPr>
              <w:t>—</w:t>
            </w: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77"/>
        </w:trPr>
        <w:tc>
          <w:tcPr>
            <w:tcW w:w="6720" w:type="dxa"/>
            <w:vAlign w:val="bottom"/>
            <w:tcBorders>
              <w:top w:val="single" w:sz="8" w:color="2B4C9B"/>
              <w:bottom w:val="single" w:sz="8" w:color="2B4C9B"/>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2B4C9B"/>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top w:val="single" w:sz="8" w:color="2B4C9B"/>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137</w:t>
            </w:r>
          </w:p>
        </w:tc>
        <w:tc>
          <w:tcPr>
            <w:tcW w:w="120" w:type="dxa"/>
            <w:vAlign w:val="bottom"/>
            <w:tcBorders>
              <w:top w:val="single" w:sz="8" w:color="2A4C9B"/>
              <w:bottom w:val="single" w:sz="8" w:color="2B4C9B"/>
            </w:tcBorders>
          </w:tcPr>
          <w:p>
            <w:pPr>
              <w:spacing w:after="0"/>
              <w:rPr>
                <w:sz w:val="24"/>
                <w:szCs w:val="24"/>
                <w:color w:val="auto"/>
              </w:rPr>
            </w:pPr>
          </w:p>
        </w:tc>
        <w:tc>
          <w:tcPr>
            <w:tcW w:w="240" w:type="dxa"/>
            <w:vAlign w:val="bottom"/>
            <w:tcBorders>
              <w:top w:val="single" w:sz="8" w:color="2B4C9B"/>
              <w:bottom w:val="single" w:sz="8" w:color="2B4C9B"/>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2B4C9B"/>
              <w:bottom w:val="single" w:sz="8" w:color="2B4C9B"/>
            </w:tcBorders>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2A4C9B"/>
              <w:bottom w:val="single" w:sz="8" w:color="2B4C9B"/>
            </w:tcBorders>
          </w:tcPr>
          <w:p>
            <w:pPr>
              <w:spacing w:after="0"/>
              <w:rPr>
                <w:sz w:val="24"/>
                <w:szCs w:val="24"/>
                <w:color w:val="auto"/>
              </w:rPr>
            </w:pPr>
          </w:p>
        </w:tc>
        <w:tc>
          <w:tcPr>
            <w:tcW w:w="500" w:type="dxa"/>
            <w:vAlign w:val="bottom"/>
            <w:tcBorders>
              <w:top w:val="single" w:sz="8" w:color="2B4C9B"/>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2B4C9B"/>
              <w:bottom w:val="single" w:sz="8" w:color="2B4C9B"/>
            </w:tcBorders>
          </w:tcPr>
          <w:p>
            <w:pPr>
              <w:jc w:val="right"/>
              <w:ind w:right="32"/>
              <w:spacing w:after="0"/>
              <w:rPr>
                <w:sz w:val="20"/>
                <w:szCs w:val="20"/>
                <w:color w:val="auto"/>
              </w:rPr>
            </w:pPr>
            <w:r>
              <w:rPr>
                <w:rFonts w:ascii="Arial" w:cs="Arial" w:eastAsia="Arial" w:hAnsi="Arial"/>
                <w:sz w:val="18"/>
                <w:szCs w:val="18"/>
                <w:color w:val="auto"/>
              </w:rPr>
              <w:t>143</w:t>
            </w:r>
          </w:p>
        </w:tc>
      </w:tr>
      <w:tr>
        <w:trPr>
          <w:trHeight w:val="257"/>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Earnings per share (Note 2):</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r>
      <w:tr>
        <w:trPr>
          <w:trHeight w:val="277"/>
        </w:trPr>
        <w:tc>
          <w:tcPr>
            <w:tcW w:w="67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3.16</w:t>
            </w:r>
          </w:p>
        </w:tc>
        <w:tc>
          <w:tcPr>
            <w:tcW w:w="120" w:type="dxa"/>
            <w:vAlign w:val="bottom"/>
            <w:tcBorders>
              <w:bottom w:val="single" w:sz="8" w:color="2B4C9B"/>
            </w:tcBorders>
            <w:shd w:val="clear" w:color="auto" w:fill="CFF0FC"/>
          </w:tcPr>
          <w:p>
            <w:pPr>
              <w:spacing w:after="0"/>
              <w:rPr>
                <w:sz w:val="24"/>
                <w:szCs w:val="24"/>
                <w:color w:val="auto"/>
              </w:rPr>
            </w:pP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2B4C9B"/>
            </w:tcBorders>
            <w:shd w:val="clear" w:color="auto" w:fill="CFF0FC"/>
          </w:tcPr>
          <w:p>
            <w:pPr>
              <w:spacing w:after="0"/>
              <w:rPr>
                <w:sz w:val="24"/>
                <w:szCs w:val="24"/>
                <w:color w:val="auto"/>
              </w:rPr>
            </w:pPr>
          </w:p>
        </w:tc>
        <w:tc>
          <w:tcPr>
            <w:tcW w:w="50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3.21</w:t>
            </w:r>
          </w:p>
        </w:tc>
      </w:tr>
      <w:tr>
        <w:trPr>
          <w:trHeight w:val="264"/>
        </w:trPr>
        <w:tc>
          <w:tcPr>
            <w:tcW w:w="67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3.11</w:t>
            </w:r>
          </w:p>
        </w:tc>
        <w:tc>
          <w:tcPr>
            <w:tcW w:w="120" w:type="dxa"/>
            <w:vAlign w:val="bottom"/>
            <w:tcBorders>
              <w:bottom w:val="single" w:sz="8" w:color="2B4C9B"/>
            </w:tcBorders>
          </w:tcPr>
          <w:p>
            <w:pPr>
              <w:spacing w:after="0"/>
              <w:rPr>
                <w:sz w:val="22"/>
                <w:szCs w:val="22"/>
                <w:color w:val="auto"/>
              </w:rPr>
            </w:pP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3.12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jc w:val="right"/>
              <w:ind w:right="295"/>
              <w:spacing w:after="0"/>
              <w:rPr>
                <w:sz w:val="20"/>
                <w:szCs w:val="20"/>
                <w:color w:val="auto"/>
              </w:rPr>
            </w:pPr>
            <w:r>
              <w:rPr>
                <w:rFonts w:ascii="Arial" w:cs="Arial" w:eastAsia="Arial" w:hAnsi="Arial"/>
                <w:sz w:val="14"/>
                <w:szCs w:val="14"/>
                <w:color w:val="auto"/>
              </w:rPr>
              <w:t>Year ended</w:t>
            </w:r>
          </w:p>
        </w:tc>
        <w:tc>
          <w:tcPr>
            <w:tcW w:w="3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2B4C9B"/>
            </w:tcBorders>
          </w:tcPr>
          <w:p>
            <w:pPr>
              <w:spacing w:after="0"/>
              <w:rPr>
                <w:sz w:val="22"/>
                <w:szCs w:val="22"/>
                <w:color w:val="auto"/>
              </w:rPr>
            </w:pPr>
          </w:p>
        </w:tc>
        <w:tc>
          <w:tcPr>
            <w:tcW w:w="20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b w:val="1"/>
                <w:bCs w:val="1"/>
                <w:color w:val="2B4C9B"/>
              </w:rPr>
              <w:t>February 1, 2019</w:t>
            </w:r>
          </w:p>
        </w:tc>
        <w:tc>
          <w:tcPr>
            <w:tcW w:w="26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color w:val="auto"/>
              </w:rPr>
              <w:t>February 2, 2018</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February 3, 2017</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137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spacing w:after="0"/>
              <w:rPr>
                <w:sz w:val="22"/>
                <w:szCs w:val="22"/>
                <w:color w:val="auto"/>
              </w:rPr>
            </w:pP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(loss) gain on derivative instruments, net of tax benefit (expense) of $6</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million, $(2) million and $(1) million for the year ended February 1, 2019,</w:t>
            </w:r>
          </w:p>
        </w:tc>
        <w:tc>
          <w:tcPr>
            <w:tcW w:w="20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b w:val="1"/>
                <w:bCs w:val="1"/>
                <w:color w:val="2B4C9B"/>
              </w:rPr>
              <w:t>(17)</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February 2, 2018 and February 3, 2017, respectively</w:t>
            </w:r>
          </w:p>
        </w:tc>
        <w:tc>
          <w:tcPr>
            <w:tcW w:w="200" w:type="dxa"/>
            <w:vAlign w:val="bottom"/>
            <w:shd w:val="clear" w:color="auto" w:fill="CFF0FC"/>
          </w:tcPr>
          <w:p>
            <w:pPr>
              <w:spacing w:after="0"/>
              <w:rPr>
                <w:sz w:val="20"/>
                <w:szCs w:val="20"/>
                <w:color w:val="auto"/>
              </w:rPr>
            </w:pPr>
          </w:p>
        </w:tc>
        <w:tc>
          <w:tcPr>
            <w:tcW w:w="1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adjustment for (benefits) costs realized in net income, net of tax</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500"/>
              <w:spacing w:after="0" w:line="202" w:lineRule="exact"/>
              <w:rPr>
                <w:sz w:val="20"/>
                <w:szCs w:val="20"/>
                <w:color w:val="auto"/>
              </w:rPr>
            </w:pPr>
            <w:r>
              <w:rPr>
                <w:rFonts w:ascii="Arial" w:cs="Arial" w:eastAsia="Arial" w:hAnsi="Arial"/>
                <w:sz w:val="18"/>
                <w:szCs w:val="18"/>
                <w:color w:val="auto"/>
              </w:rPr>
              <w:t>expense (benefit) of $0 million, $(1) million and $(3) million for the year ended</w:t>
            </w:r>
          </w:p>
        </w:tc>
        <w:tc>
          <w:tcPr>
            <w:tcW w:w="200" w:type="dxa"/>
            <w:vAlign w:val="bottom"/>
          </w:tcPr>
          <w:p>
            <w:pPr>
              <w:spacing w:after="0"/>
              <w:rPr>
                <w:sz w:val="17"/>
                <w:szCs w:val="17"/>
                <w:color w:val="auto"/>
              </w:rPr>
            </w:pPr>
          </w:p>
        </w:tc>
        <w:tc>
          <w:tcPr>
            <w:tcW w:w="13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2B4C9B"/>
              </w:rPr>
              <w:t>(1)</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40" w:type="dxa"/>
            <w:vAlign w:val="bottom"/>
            <w:tcBorders>
              <w:bottom w:val="single" w:sz="8" w:color="2B4C9B"/>
            </w:tcBorders>
          </w:tcPr>
          <w:p>
            <w:pPr>
              <w:ind w:left="500"/>
              <w:spacing w:after="0"/>
              <w:rPr>
                <w:sz w:val="20"/>
                <w:szCs w:val="20"/>
                <w:color w:val="auto"/>
              </w:rPr>
            </w:pPr>
            <w:r>
              <w:rPr>
                <w:rFonts w:ascii="Arial" w:cs="Arial" w:eastAsia="Arial" w:hAnsi="Arial"/>
                <w:sz w:val="18"/>
                <w:szCs w:val="18"/>
                <w:color w:val="auto"/>
              </w:rPr>
              <w:t>February 1, 2019, February 2, 2018 and February 3, 2017, respectively</w:t>
            </w:r>
          </w:p>
        </w:tc>
        <w:tc>
          <w:tcPr>
            <w:tcW w:w="200" w:type="dxa"/>
            <w:vAlign w:val="bottom"/>
            <w:tcBorders>
              <w:bottom w:val="single" w:sz="8" w:color="2B4C9B"/>
            </w:tcBorders>
          </w:tcPr>
          <w:p>
            <w:pPr>
              <w:spacing w:after="0"/>
              <w:rPr>
                <w:sz w:val="19"/>
                <w:szCs w:val="19"/>
                <w:color w:val="auto"/>
              </w:rPr>
            </w:pPr>
          </w:p>
        </w:tc>
        <w:tc>
          <w:tcPr>
            <w:tcW w:w="1340" w:type="dxa"/>
            <w:vAlign w:val="bottom"/>
            <w:tcBorders>
              <w:bottom w:val="single" w:sz="8" w:color="2B4C9B"/>
            </w:tcBorders>
            <w:vMerge w:val="continue"/>
          </w:tcPr>
          <w:p>
            <w:pPr>
              <w:spacing w:after="0"/>
              <w:rPr>
                <w:sz w:val="19"/>
                <w:szCs w:val="19"/>
                <w:color w:val="auto"/>
              </w:rPr>
            </w:pPr>
          </w:p>
        </w:tc>
        <w:tc>
          <w:tcPr>
            <w:tcW w:w="260" w:type="dxa"/>
            <w:vAlign w:val="bottom"/>
            <w:tcBorders>
              <w:bottom w:val="single" w:sz="8" w:color="2B4C9B"/>
            </w:tcBorders>
          </w:tcPr>
          <w:p>
            <w:pPr>
              <w:spacing w:after="0"/>
              <w:rPr>
                <w:sz w:val="19"/>
                <w:szCs w:val="19"/>
                <w:color w:val="auto"/>
              </w:rPr>
            </w:pPr>
          </w:p>
        </w:tc>
        <w:tc>
          <w:tcPr>
            <w:tcW w:w="130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Net unrealized (loss) gain on derivative instruments</w:t>
            </w:r>
          </w:p>
        </w:tc>
        <w:tc>
          <w:tcPr>
            <w:tcW w:w="200" w:type="dxa"/>
            <w:vAlign w:val="bottom"/>
            <w:tcBorders>
              <w:bottom w:val="single" w:sz="8" w:color="2B4C9B"/>
            </w:tcBorders>
            <w:shd w:val="clear" w:color="auto" w:fill="CFF0FC"/>
          </w:tcPr>
          <w:p>
            <w:pPr>
              <w:spacing w:after="0"/>
              <w:rPr>
                <w:sz w:val="22"/>
                <w:szCs w:val="22"/>
                <w:color w:val="auto"/>
              </w:rPr>
            </w:pPr>
          </w:p>
        </w:tc>
        <w:tc>
          <w:tcPr>
            <w:tcW w:w="134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2B4C9B"/>
              </w:rPr>
              <w:t>(18)</w:t>
            </w:r>
          </w:p>
        </w:tc>
        <w:tc>
          <w:tcPr>
            <w:tcW w:w="260" w:type="dxa"/>
            <w:vAlign w:val="bottom"/>
            <w:tcBorders>
              <w:bottom w:val="single" w:sz="8" w:color="2B4C9B"/>
            </w:tcBorders>
            <w:shd w:val="clear" w:color="auto" w:fill="CFF0FC"/>
          </w:tcPr>
          <w:p>
            <w:pPr>
              <w:spacing w:after="0"/>
              <w:rPr>
                <w:sz w:val="22"/>
                <w:szCs w:val="22"/>
                <w:color w:val="auto"/>
              </w:rPr>
            </w:pPr>
          </w:p>
        </w:tc>
        <w:tc>
          <w:tcPr>
            <w:tcW w:w="130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2B4C9B"/>
            </w:tcBorders>
            <w:shd w:val="clear" w:color="auto" w:fill="CFF0FC"/>
          </w:tcPr>
          <w:p>
            <w:pPr>
              <w:spacing w:after="0"/>
              <w:rPr>
                <w:sz w:val="22"/>
                <w:szCs w:val="22"/>
                <w:color w:val="auto"/>
              </w:rPr>
            </w:pPr>
          </w:p>
        </w:tc>
        <w:tc>
          <w:tcPr>
            <w:tcW w:w="12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20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b w:val="1"/>
                <w:bCs w:val="1"/>
                <w:color w:val="2B4C9B"/>
              </w:rPr>
              <w:t>(18)</w:t>
            </w:r>
          </w:p>
        </w:tc>
        <w:tc>
          <w:tcPr>
            <w:tcW w:w="26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20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119</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F-5</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2B4C9B"/>
              </w:rPr>
              <w:t>February 1,</w:t>
            </w:r>
          </w:p>
        </w:tc>
        <w:tc>
          <w:tcPr>
            <w:tcW w:w="54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b w:val="1"/>
                <w:bCs w:val="1"/>
                <w:color w:val="2B4C9B"/>
              </w:rPr>
              <w:t>2019</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8320" w:type="dxa"/>
            <w:vAlign w:val="bottom"/>
          </w:tcPr>
          <w:p>
            <w:pPr>
              <w:ind w:left="40"/>
              <w:spacing w:after="0"/>
              <w:rPr>
                <w:sz w:val="20"/>
                <w:szCs w:val="20"/>
                <w:color w:val="auto"/>
              </w:rPr>
            </w:pPr>
            <w:r>
              <w:rPr>
                <w:rFonts w:ascii="Arial" w:cs="Arial" w:eastAsia="Arial" w:hAnsi="Arial"/>
                <w:sz w:val="18"/>
                <w:szCs w:val="18"/>
                <w:b w:val="1"/>
                <w:bCs w:val="1"/>
                <w:color w:val="2B4C9B"/>
              </w:rPr>
              <w:t>ASSETS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237</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 (Note 3)</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1,050</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74</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47</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25</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1,433</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 (Note 5)</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2,120</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net (Note 5)</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803</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103</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104</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8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4,563</w:t>
            </w:r>
          </w:p>
        </w:tc>
        <w:tc>
          <w:tcPr>
            <w:tcW w:w="540" w:type="dxa"/>
            <w:vAlign w:val="bottom"/>
            <w:tcBorders>
              <w:bottom w:val="single" w:sz="8" w:color="2B4C9B"/>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b w:val="1"/>
                <w:bCs w:val="1"/>
                <w:color w:val="2B4C9B"/>
              </w:rPr>
              <w:t>LIABILITIES AND EQUITY</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455</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Accrued payroll and other employee benefits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121</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120</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177</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Long-term debt, current portion (Note 10)</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24</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897</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Long-term debt, net of current portion (Note 10)</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2,065</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102</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Common stock, $.0001 par value, 1 billion shares authorized, 60 million shares and 43 million</w:t>
            </w:r>
          </w:p>
        </w:tc>
        <w:tc>
          <w:tcPr>
            <w:tcW w:w="340" w:type="dxa"/>
            <w:vAlign w:val="bottom"/>
            <w:shd w:val="clear" w:color="auto" w:fill="CFF0FC"/>
          </w:tcPr>
          <w:p>
            <w:pPr>
              <w:spacing w:after="0"/>
              <w:rPr>
                <w:sz w:val="21"/>
                <w:szCs w:val="21"/>
                <w:color w:val="auto"/>
              </w:rPr>
            </w:pPr>
          </w:p>
        </w:tc>
        <w:tc>
          <w:tcPr>
            <w:tcW w:w="118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shares issued and outstanding as of February 1, 2019 and February 2, 2018, respectively</w:t>
            </w:r>
          </w:p>
        </w:tc>
        <w:tc>
          <w:tcPr>
            <w:tcW w:w="34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1,132</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367</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(14)</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common stockholders' equity</w:t>
            </w:r>
          </w:p>
        </w:tc>
        <w:tc>
          <w:tcPr>
            <w:tcW w:w="34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1,485</w:t>
            </w:r>
          </w:p>
        </w:tc>
        <w:tc>
          <w:tcPr>
            <w:tcW w:w="5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14</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1,499</w:t>
            </w:r>
          </w:p>
        </w:tc>
        <w:tc>
          <w:tcPr>
            <w:tcW w:w="54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7"/>
        </w:trPr>
        <w:tc>
          <w:tcPr>
            <w:tcW w:w="8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4,563</w:t>
            </w:r>
          </w:p>
        </w:tc>
        <w:tc>
          <w:tcPr>
            <w:tcW w:w="54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F-6</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Shares of</w:t>
            </w:r>
          </w:p>
        </w:tc>
        <w:tc>
          <w:tcPr>
            <w:tcW w:w="2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4"/>
                <w:szCs w:val="14"/>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color w:val="auto"/>
              </w:rPr>
              <w:t>Non-</w:t>
            </w:r>
          </w:p>
        </w:tc>
        <w:tc>
          <w:tcPr>
            <w:tcW w:w="68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Retained</w:t>
            </w:r>
          </w:p>
        </w:tc>
        <w:tc>
          <w:tcPr>
            <w:tcW w:w="40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4"/>
                <w:szCs w:val="14"/>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color w:val="auto"/>
              </w:rPr>
              <w:t>Controlling</w:t>
            </w:r>
          </w:p>
        </w:tc>
        <w:tc>
          <w:tcPr>
            <w:tcW w:w="680" w:type="dxa"/>
            <w:vAlign w:val="bottom"/>
          </w:tcPr>
          <w:p>
            <w:pPr>
              <w:spacing w:after="0"/>
              <w:rPr>
                <w:sz w:val="14"/>
                <w:szCs w:val="14"/>
                <w:color w:val="auto"/>
              </w:rPr>
            </w:pPr>
          </w:p>
        </w:tc>
      </w:tr>
      <w:tr>
        <w:trPr>
          <w:trHeight w:val="178"/>
        </w:trPr>
        <w:tc>
          <w:tcPr>
            <w:tcW w:w="4700" w:type="dxa"/>
            <w:vAlign w:val="bottom"/>
            <w:tcBorders>
              <w:bottom w:val="single" w:sz="8" w:color="2B4C9B"/>
            </w:tcBorders>
          </w:tcPr>
          <w:p>
            <w:pPr>
              <w:spacing w:after="0"/>
              <w:rPr>
                <w:sz w:val="15"/>
                <w:szCs w:val="15"/>
                <w:color w:val="auto"/>
              </w:rPr>
            </w:pPr>
          </w:p>
        </w:tc>
        <w:tc>
          <w:tcPr>
            <w:tcW w:w="94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stock</w:t>
            </w:r>
          </w:p>
        </w:tc>
        <w:tc>
          <w:tcPr>
            <w:tcW w:w="22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capital</w:t>
            </w:r>
          </w:p>
        </w:tc>
        <w:tc>
          <w:tcPr>
            <w:tcW w:w="260" w:type="dxa"/>
            <w:vAlign w:val="bottom"/>
            <w:tcBorders>
              <w:bottom w:val="single" w:sz="8" w:color="2B4C9B"/>
            </w:tcBorders>
          </w:tcPr>
          <w:p>
            <w:pPr>
              <w:spacing w:after="0"/>
              <w:rPr>
                <w:sz w:val="15"/>
                <w:szCs w:val="15"/>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earnings</w:t>
            </w:r>
          </w:p>
        </w:tc>
        <w:tc>
          <w:tcPr>
            <w:tcW w:w="4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income (loss)</w:t>
            </w:r>
          </w:p>
        </w:tc>
        <w:tc>
          <w:tcPr>
            <w:tcW w:w="26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jc w:val="right"/>
              <w:ind w:right="372"/>
              <w:spacing w:after="0"/>
              <w:rPr>
                <w:sz w:val="20"/>
                <w:szCs w:val="20"/>
                <w:color w:val="auto"/>
              </w:rPr>
            </w:pPr>
            <w:r>
              <w:rPr>
                <w:rFonts w:ascii="Arial" w:cs="Arial" w:eastAsia="Arial" w:hAnsi="Arial"/>
                <w:sz w:val="14"/>
                <w:szCs w:val="14"/>
                <w:color w:val="auto"/>
              </w:rPr>
              <w:t>Interest</w:t>
            </w:r>
          </w:p>
        </w:tc>
        <w:tc>
          <w:tcPr>
            <w:tcW w:w="68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31"/>
        </w:trPr>
        <w:tc>
          <w:tcPr>
            <w:tcW w:w="4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gridSpan w:val="2"/>
          </w:tcPr>
          <w:p>
            <w:pPr>
              <w:jc w:val="right"/>
              <w:ind w:right="81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
        </w:trPr>
        <w:tc>
          <w:tcPr>
            <w:tcW w:w="4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0"/>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January 29, 2016</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215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40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   $</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380</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dividends of $1.24 per share</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benefits from stock-based compensation</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w:t>
            </w:r>
          </w:p>
        </w:tc>
      </w:tr>
      <w:tr>
        <w:trPr>
          <w:trHeight w:val="264"/>
        </w:trPr>
        <w:tc>
          <w:tcPr>
            <w:tcW w:w="470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2B4C9B"/>
            </w:tcBorders>
          </w:tcPr>
          <w:p>
            <w:pPr>
              <w:spacing w:after="0"/>
              <w:rPr>
                <w:sz w:val="22"/>
                <w:szCs w:val="22"/>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3, 2017</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91</w:t>
            </w:r>
          </w:p>
        </w:tc>
        <w:tc>
          <w:tcPr>
            <w:tcW w:w="26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w:t>
            </w:r>
          </w:p>
        </w:tc>
        <w:tc>
          <w:tcPr>
            <w:tcW w:w="40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349</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Reclassification of AOCI due to the Tax Act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Cash dividends of $1.24 per share</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470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2B4C9B"/>
            </w:tcBorders>
          </w:tcPr>
          <w:p>
            <w:pPr>
              <w:spacing w:after="0"/>
              <w:rPr>
                <w:sz w:val="22"/>
                <w:szCs w:val="22"/>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2, 2018</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w:t>
            </w:r>
          </w:p>
        </w:tc>
        <w:tc>
          <w:tcPr>
            <w:tcW w:w="40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327</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Cumulative impact from adopting ASC 606 (Note 1) 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4700" w:type="dxa"/>
            <w:vAlign w:val="bottom"/>
          </w:tcPr>
          <w:p>
            <w:pPr>
              <w:ind w:left="500"/>
              <w:spacing w:after="0"/>
              <w:rPr>
                <w:sz w:val="20"/>
                <w:szCs w:val="20"/>
                <w:color w:val="auto"/>
              </w:rPr>
            </w:pPr>
            <w:r>
              <w:rPr>
                <w:rFonts w:ascii="Arial" w:cs="Arial" w:eastAsia="Arial" w:hAnsi="Arial"/>
                <w:sz w:val="18"/>
                <w:szCs w:val="18"/>
                <w:color w:val="auto"/>
              </w:rPr>
              <w:t>February 3, 2018</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 attributable to common stockholders</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137</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Issuances of stock</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Cash dividends of $1.24 per share</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43</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Repurchases of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issued for the Engility acquisition</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1,084</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Acquired non-controlling interest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470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Contribution from non-controlling interest</w:t>
            </w:r>
          </w:p>
        </w:tc>
        <w:tc>
          <w:tcPr>
            <w:tcW w:w="9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2B4C9B"/>
            </w:tcBorders>
            <w:shd w:val="clear" w:color="auto" w:fill="CFF0FC"/>
          </w:tcPr>
          <w:p>
            <w:pPr>
              <w:spacing w:after="0"/>
              <w:rPr>
                <w:sz w:val="23"/>
                <w:szCs w:val="23"/>
                <w:color w:val="auto"/>
              </w:rPr>
            </w:pPr>
          </w:p>
        </w:tc>
        <w:tc>
          <w:tcPr>
            <w:tcW w:w="80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7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2B4C9B"/>
            </w:tcBorders>
            <w:shd w:val="clear" w:color="auto" w:fill="CFF0FC"/>
          </w:tcPr>
          <w:p>
            <w:pPr>
              <w:spacing w:after="0"/>
              <w:rPr>
                <w:sz w:val="23"/>
                <w:szCs w:val="23"/>
                <w:color w:val="auto"/>
              </w:rPr>
            </w:pPr>
          </w:p>
        </w:tc>
        <w:tc>
          <w:tcPr>
            <w:tcW w:w="12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372"/>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470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2B4C9B"/>
              </w:rPr>
              <w:t>Balance at February 1, 2019</w:t>
            </w:r>
          </w:p>
        </w:tc>
        <w:tc>
          <w:tcPr>
            <w:tcW w:w="94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60</w:t>
            </w:r>
          </w:p>
        </w:tc>
        <w:tc>
          <w:tcPr>
            <w:tcW w:w="220" w:type="dxa"/>
            <w:vAlign w:val="bottom"/>
            <w:tcBorders>
              <w:bottom w:val="single" w:sz="8" w:color="2B4C9B"/>
            </w:tcBorders>
          </w:tcPr>
          <w:p>
            <w:pPr>
              <w:spacing w:after="0"/>
              <w:rPr>
                <w:sz w:val="24"/>
                <w:szCs w:val="24"/>
                <w:color w:val="auto"/>
              </w:rPr>
            </w:pPr>
          </w:p>
        </w:tc>
        <w:tc>
          <w:tcPr>
            <w:tcW w:w="80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1,132</w:t>
            </w:r>
          </w:p>
        </w:tc>
        <w:tc>
          <w:tcPr>
            <w:tcW w:w="260" w:type="dxa"/>
            <w:vAlign w:val="bottom"/>
            <w:tcBorders>
              <w:bottom w:val="single" w:sz="8" w:color="2B4C9B"/>
            </w:tcBorders>
          </w:tcPr>
          <w:p>
            <w:pPr>
              <w:spacing w:after="0"/>
              <w:rPr>
                <w:sz w:val="24"/>
                <w:szCs w:val="24"/>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367</w:t>
            </w:r>
          </w:p>
        </w:tc>
        <w:tc>
          <w:tcPr>
            <w:tcW w:w="400" w:type="dxa"/>
            <w:vAlign w:val="bottom"/>
            <w:tcBorders>
              <w:bottom w:val="single" w:sz="8" w:color="2B4C9B"/>
            </w:tcBorders>
          </w:tcPr>
          <w:p>
            <w:pPr>
              <w:spacing w:after="0"/>
              <w:rPr>
                <w:sz w:val="24"/>
                <w:szCs w:val="24"/>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(14)</w:t>
            </w:r>
          </w:p>
        </w:tc>
        <w:tc>
          <w:tcPr>
            <w:tcW w:w="260" w:type="dxa"/>
            <w:vAlign w:val="bottom"/>
            <w:tcBorders>
              <w:bottom w:val="single" w:sz="8" w:color="2B4C9B"/>
            </w:tcBorders>
          </w:tcPr>
          <w:p>
            <w:pPr>
              <w:spacing w:after="0"/>
              <w:rPr>
                <w:sz w:val="24"/>
                <w:szCs w:val="24"/>
                <w:color w:val="auto"/>
              </w:rPr>
            </w:pPr>
          </w:p>
        </w:tc>
        <w:tc>
          <w:tcPr>
            <w:tcW w:w="1200" w:type="dxa"/>
            <w:vAlign w:val="bottom"/>
            <w:tcBorders>
              <w:bottom w:val="single" w:sz="8" w:color="2B4C9B"/>
            </w:tcBorders>
          </w:tcPr>
          <w:p>
            <w:pPr>
              <w:jc w:val="right"/>
              <w:ind w:right="372"/>
              <w:spacing w:after="0"/>
              <w:rPr>
                <w:sz w:val="20"/>
                <w:szCs w:val="20"/>
                <w:color w:val="auto"/>
              </w:rPr>
            </w:pPr>
            <w:r>
              <w:rPr>
                <w:rFonts w:ascii="Arial" w:cs="Arial" w:eastAsia="Arial" w:hAnsi="Arial"/>
                <w:sz w:val="18"/>
                <w:szCs w:val="18"/>
                <w:b w:val="1"/>
                <w:bCs w:val="1"/>
                <w:color w:val="2B4C9B"/>
              </w:rPr>
              <w:t>14</w:t>
            </w:r>
          </w:p>
        </w:tc>
        <w:tc>
          <w:tcPr>
            <w:tcW w:w="68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b w:val="1"/>
                <w:bCs w:val="1"/>
                <w:color w:val="2B4C9B"/>
              </w:rPr>
              <w:t>1,499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F-7</w:t>
      </w:r>
    </w:p>
    <w:p>
      <w:pPr>
        <w:sectPr>
          <w:pgSz w:w="11900" w:h="16838" w:orient="portrait"/>
          <w:cols w:equalWidth="0" w:num="1">
            <w:col w:w="11420"/>
          </w:cols>
          <w:pgMar w:left="240" w:top="141" w:right="239" w:bottom="1440" w:gutter="0" w:footer="0" w:header="0"/>
        </w:sectPr>
      </w:pPr>
    </w:p>
    <w:bookmarkStart w:id="52" w:name="page53"/>
    <w:bookmarkEnd w:id="52"/>
    <w:p>
      <w:pPr>
        <w:spacing w:after="0" w:line="62" w:lineRule="exact"/>
        <w:rPr>
          <w:sz w:val="20"/>
          <w:szCs w:val="20"/>
          <w:color w:val="auto"/>
        </w:rPr>
      </w:pPr>
    </w:p>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Year Ended</w:t>
            </w:r>
          </w:p>
        </w:tc>
        <w:tc>
          <w:tcPr>
            <w:tcW w:w="42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2B4C9B"/>
              </w:rPr>
              <w:t>February 1,</w:t>
            </w:r>
          </w:p>
        </w:tc>
        <w:tc>
          <w:tcPr>
            <w:tcW w:w="300" w:type="dxa"/>
            <w:vAlign w:val="bottom"/>
          </w:tcPr>
          <w:p>
            <w:pPr>
              <w:spacing w:after="0"/>
              <w:rPr>
                <w:sz w:val="15"/>
                <w:szCs w:val="15"/>
                <w:color w:val="auto"/>
              </w:rPr>
            </w:pPr>
          </w:p>
        </w:tc>
        <w:tc>
          <w:tcPr>
            <w:tcW w:w="1280" w:type="dxa"/>
            <w:vAlign w:val="bottom"/>
          </w:tcPr>
          <w:p>
            <w:pPr>
              <w:jc w:val="right"/>
              <w:ind w:right="100"/>
              <w:spacing w:after="0"/>
              <w:rPr>
                <w:sz w:val="20"/>
                <w:szCs w:val="20"/>
                <w:color w:val="auto"/>
              </w:rPr>
            </w:pPr>
            <w:r>
              <w:rPr>
                <w:rFonts w:ascii="Arial" w:cs="Arial" w:eastAsia="Arial" w:hAnsi="Arial"/>
                <w:sz w:val="14"/>
                <w:szCs w:val="14"/>
                <w:color w:val="auto"/>
              </w:rPr>
              <w:t>February 2,</w:t>
            </w:r>
          </w:p>
        </w:tc>
        <w:tc>
          <w:tcPr>
            <w:tcW w:w="42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4"/>
                <w:szCs w:val="14"/>
                <w:color w:val="auto"/>
              </w:rPr>
              <w:t>February 3,</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4"/>
                <w:szCs w:val="14"/>
                <w:b w:val="1"/>
                <w:bCs w:val="1"/>
                <w:color w:val="2B4C9B"/>
              </w:rPr>
              <w:t>2019</w:t>
            </w:r>
          </w:p>
        </w:tc>
        <w:tc>
          <w:tcPr>
            <w:tcW w:w="30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60"/>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9"/>
              <w:spacing w:after="0"/>
              <w:rPr>
                <w:sz w:val="20"/>
                <w:szCs w:val="20"/>
                <w:color w:val="auto"/>
              </w:rPr>
            </w:pPr>
            <w:r>
              <w:rPr>
                <w:rFonts w:ascii="Arial" w:cs="Arial" w:eastAsia="Arial" w:hAnsi="Arial"/>
                <w:sz w:val="14"/>
                <w:szCs w:val="14"/>
                <w:color w:val="auto"/>
              </w:rPr>
              <w:t>2017</w:t>
            </w:r>
          </w:p>
        </w:tc>
      </w:tr>
      <w:tr>
        <w:trPr>
          <w:trHeight w:val="258"/>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34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2B4C9B"/>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137</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179</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143</w:t>
            </w:r>
          </w:p>
        </w:tc>
      </w:tr>
      <w:tr>
        <w:trPr>
          <w:trHeight w:val="224"/>
        </w:trPr>
        <w:tc>
          <w:tcPr>
            <w:tcW w:w="674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7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49</w:t>
            </w:r>
          </w:p>
        </w:tc>
        <w:tc>
          <w:tcPr>
            <w:tcW w:w="300" w:type="dxa"/>
            <w:vAlign w:val="bottom"/>
          </w:tcPr>
          <w:p>
            <w:pPr>
              <w:spacing w:after="0"/>
              <w:rPr>
                <w:sz w:val="24"/>
                <w:szCs w:val="24"/>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19</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45</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Loss on disposal of property, plant, and equipment</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4</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Provisions for inventory and deferred contract costs</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36</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Increase (decrease) resulting from changes in operating assets and liabilities, net of the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195"/>
        </w:trPr>
        <w:tc>
          <w:tcPr>
            <w:tcW w:w="674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effect of the acquisition:</w:t>
            </w: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9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(26)</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(135)</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96</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Inventory, prepaid expenses, and other current assets</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(26)</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(12)</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(65)</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payroll and employee benefits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22</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6740" w:type="dxa"/>
            <w:vAlign w:val="bottom"/>
            <w:tcBorders>
              <w:bottom w:val="single" w:sz="8" w:color="2B4C9B"/>
            </w:tcBorders>
          </w:tcPr>
          <w:p>
            <w:pPr>
              <w:ind w:left="5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1</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184</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217</w:t>
            </w:r>
          </w:p>
        </w:tc>
        <w:tc>
          <w:tcPr>
            <w:tcW w:w="42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273</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74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3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(28)</w:t>
            </w:r>
          </w:p>
        </w:tc>
        <w:tc>
          <w:tcPr>
            <w:tcW w:w="30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b w:val="1"/>
                <w:bCs w:val="1"/>
                <w:color w:val="2B4C9B"/>
              </w:rPr>
              <w:t>(1,001)</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(1,028)</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c>
          <w:tcPr>
            <w:tcW w:w="42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740" w:type="dxa"/>
            <w:vAlign w:val="bottom"/>
          </w:tcPr>
          <w:p>
            <w:pPr>
              <w:ind w:left="280"/>
              <w:spacing w:after="0"/>
              <w:rPr>
                <w:sz w:val="20"/>
                <w:szCs w:val="20"/>
                <w:color w:val="auto"/>
              </w:rPr>
            </w:pPr>
            <w:r>
              <w:rPr>
                <w:rFonts w:ascii="Arial" w:cs="Arial" w:eastAsia="Arial" w:hAnsi="Arial"/>
                <w:sz w:val="16"/>
                <w:szCs w:val="16"/>
                <w:color w:val="auto"/>
              </w:rPr>
              <w:t>Dividend payments to stockholders</w:t>
            </w:r>
          </w:p>
        </w:tc>
        <w:tc>
          <w:tcPr>
            <w:tcW w:w="3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(53)</w:t>
            </w:r>
          </w:p>
        </w:tc>
        <w:tc>
          <w:tcPr>
            <w:tcW w:w="300" w:type="dxa"/>
            <w:vAlign w:val="bottom"/>
          </w:tcPr>
          <w:p>
            <w:pPr>
              <w:spacing w:after="0"/>
              <w:rPr>
                <w:sz w:val="24"/>
                <w:szCs w:val="24"/>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Principal payments on borrowings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(779)</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Issuances of stock</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7</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 repurchased and retired or withheld for taxes on equity awards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(69)</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(186)</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Disbursements for obligations assumed from Scitor acquisition</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borrowings</w:t>
            </w:r>
          </w:p>
        </w:tc>
        <w:tc>
          <w:tcPr>
            <w:tcW w:w="3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1,859</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Debt issuance costs</w:t>
            </w: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(26)</w:t>
            </w:r>
          </w:p>
        </w:tc>
        <w:tc>
          <w:tcPr>
            <w:tcW w:w="3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Equity issuance costs</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(2)</w:t>
            </w:r>
          </w:p>
        </w:tc>
        <w:tc>
          <w:tcPr>
            <w:tcW w:w="3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6740" w:type="dxa"/>
            <w:vAlign w:val="bottom"/>
            <w:tcBorders>
              <w:bottom w:val="single" w:sz="8" w:color="2B4C9B"/>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non-controlling interest</w:t>
            </w:r>
          </w:p>
        </w:tc>
        <w:tc>
          <w:tcPr>
            <w:tcW w:w="36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w:t>
            </w:r>
          </w:p>
        </w:tc>
        <w:tc>
          <w:tcPr>
            <w:tcW w:w="3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938</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(261)</w:t>
            </w:r>
          </w:p>
        </w:tc>
        <w:tc>
          <w:tcPr>
            <w:tcW w:w="42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(247)</w:t>
            </w:r>
          </w:p>
        </w:tc>
      </w:tr>
      <w:tr>
        <w:trPr>
          <w:trHeight w:val="270"/>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94</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(66)</w:t>
            </w:r>
          </w:p>
        </w:tc>
        <w:tc>
          <w:tcPr>
            <w:tcW w:w="42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152</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color w:val="auto"/>
              </w:rPr>
              <w:t>218</w:t>
            </w:r>
          </w:p>
        </w:tc>
        <w:tc>
          <w:tcPr>
            <w:tcW w:w="42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209</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at end of period (Note 1)</w:t>
            </w:r>
          </w:p>
        </w:tc>
        <w:tc>
          <w:tcPr>
            <w:tcW w:w="360" w:type="dxa"/>
            <w:vAlign w:val="bottom"/>
            <w:tcBorders>
              <w:bottom w:val="single" w:sz="8" w:color="2B4C9B"/>
            </w:tcBorders>
            <w:shd w:val="clear" w:color="auto" w:fill="CFF0FC"/>
          </w:tcPr>
          <w:p>
            <w:pPr>
              <w:jc w:val="right"/>
              <w:ind w:right="15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246</w:t>
            </w:r>
          </w:p>
        </w:tc>
        <w:tc>
          <w:tcPr>
            <w:tcW w:w="30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B4C9B"/>
            </w:tcBorders>
            <w:shd w:val="clear" w:color="auto" w:fill="CFF0FC"/>
          </w:tcPr>
          <w:p>
            <w:pPr>
              <w:jc w:val="right"/>
              <w:ind w:right="60"/>
              <w:spacing w:after="0"/>
              <w:rPr>
                <w:sz w:val="20"/>
                <w:szCs w:val="20"/>
                <w:color w:val="auto"/>
              </w:rPr>
            </w:pPr>
            <w:r>
              <w:rPr>
                <w:rFonts w:ascii="Arial" w:cs="Arial" w:eastAsia="Arial" w:hAnsi="Arial"/>
                <w:sz w:val="16"/>
                <w:szCs w:val="16"/>
                <w:color w:val="auto"/>
              </w:rPr>
              <w:t>152</w:t>
            </w:r>
          </w:p>
        </w:tc>
        <w:tc>
          <w:tcPr>
            <w:tcW w:w="420" w:type="dxa"/>
            <w:vAlign w:val="bottom"/>
            <w:tcBorders>
              <w:bottom w:val="single" w:sz="8" w:color="2B4C9B"/>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Supplementary cash flow disclosure: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interest</w:t>
            </w:r>
          </w:p>
        </w:tc>
        <w:tc>
          <w:tcPr>
            <w:tcW w:w="680" w:type="dxa"/>
            <w:vAlign w:val="bottom"/>
            <w:tcBorders>
              <w:bottom w:val="single" w:sz="8" w:color="2B4C9B"/>
            </w:tcBorders>
            <w:shd w:val="clear" w:color="auto" w:fill="CFF0FC"/>
          </w:tcPr>
          <w:p>
            <w:pPr>
              <w:jc w:val="right"/>
              <w:ind w:right="479"/>
              <w:spacing w:after="0"/>
              <w:rPr>
                <w:sz w:val="20"/>
                <w:szCs w:val="20"/>
                <w:color w:val="auto"/>
              </w:rPr>
            </w:pPr>
            <w:r>
              <w:rPr>
                <w:rFonts w:ascii="Arial" w:cs="Arial" w:eastAsia="Arial" w:hAnsi="Arial"/>
                <w:sz w:val="16"/>
                <w:szCs w:val="16"/>
                <w:b w:val="1"/>
                <w:bCs w:val="1"/>
                <w:color w:val="2B4C9B"/>
              </w:rPr>
              <w:t>$</w:t>
            </w:r>
          </w:p>
        </w:tc>
        <w:tc>
          <w:tcPr>
            <w:tcW w:w="88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44</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shd w:val="clear" w:color="auto" w:fill="CFF0FC"/>
          </w:tcPr>
          <w:p>
            <w:pPr>
              <w:jc w:val="right"/>
              <w:ind w:right="59"/>
              <w:spacing w:after="0"/>
              <w:rPr>
                <w:sz w:val="20"/>
                <w:szCs w:val="20"/>
                <w:color w:val="auto"/>
              </w:rPr>
            </w:pPr>
            <w:r>
              <w:rPr>
                <w:rFonts w:ascii="Arial" w:cs="Arial" w:eastAsia="Arial" w:hAnsi="Arial"/>
                <w:sz w:val="16"/>
                <w:szCs w:val="16"/>
                <w:color w:val="auto"/>
              </w:rPr>
              <w:t>41</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48</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income taxes</w:t>
            </w:r>
          </w:p>
        </w:tc>
        <w:tc>
          <w:tcPr>
            <w:tcW w:w="680" w:type="dxa"/>
            <w:vAlign w:val="bottom"/>
            <w:tcBorders>
              <w:bottom w:val="single" w:sz="8" w:color="2B4C9B"/>
            </w:tcBorders>
          </w:tcPr>
          <w:p>
            <w:pPr>
              <w:jc w:val="right"/>
              <w:ind w:right="479"/>
              <w:spacing w:after="0"/>
              <w:rPr>
                <w:sz w:val="20"/>
                <w:szCs w:val="20"/>
                <w:color w:val="auto"/>
              </w:rPr>
            </w:pPr>
            <w:r>
              <w:rPr>
                <w:rFonts w:ascii="Arial" w:cs="Arial" w:eastAsia="Arial" w:hAnsi="Arial"/>
                <w:sz w:val="16"/>
                <w:szCs w:val="16"/>
                <w:b w:val="1"/>
                <w:bCs w:val="1"/>
                <w:color w:val="2B4C9B"/>
              </w:rPr>
              <w:t>$</w:t>
            </w:r>
          </w:p>
        </w:tc>
        <w:tc>
          <w:tcPr>
            <w:tcW w:w="88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24</w:t>
            </w:r>
          </w:p>
        </w:tc>
        <w:tc>
          <w:tcPr>
            <w:tcW w:w="72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tcPr>
          <w:p>
            <w:pPr>
              <w:jc w:val="right"/>
              <w:ind w:right="59"/>
              <w:spacing w:after="0"/>
              <w:rPr>
                <w:sz w:val="20"/>
                <w:szCs w:val="20"/>
                <w:color w:val="auto"/>
              </w:rPr>
            </w:pPr>
            <w:r>
              <w:rPr>
                <w:rFonts w:ascii="Arial" w:cs="Arial" w:eastAsia="Arial" w:hAnsi="Arial"/>
                <w:sz w:val="16"/>
                <w:szCs w:val="16"/>
                <w:color w:val="auto"/>
              </w:rPr>
              <w:t>31</w:t>
            </w:r>
          </w:p>
        </w:tc>
        <w:tc>
          <w:tcPr>
            <w:tcW w:w="72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16"/>
        </w:trPr>
        <w:tc>
          <w:tcPr>
            <w:tcW w:w="6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1"/>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6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83"/>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color w:val="auto"/>
              </w:rPr>
              <w:t>Increase (decrease) in accrued plan share repurchases</w:t>
            </w:r>
          </w:p>
        </w:tc>
        <w:tc>
          <w:tcPr>
            <w:tcW w:w="680" w:type="dxa"/>
            <w:vAlign w:val="bottom"/>
            <w:tcBorders>
              <w:bottom w:val="single" w:sz="8" w:color="2B4C9B"/>
            </w:tcBorders>
            <w:shd w:val="clear" w:color="auto" w:fill="CFF0FC"/>
          </w:tcPr>
          <w:p>
            <w:pPr>
              <w:jc w:val="right"/>
              <w:ind w:right="479"/>
              <w:spacing w:after="0"/>
              <w:rPr>
                <w:sz w:val="20"/>
                <w:szCs w:val="20"/>
                <w:color w:val="auto"/>
              </w:rPr>
            </w:pPr>
            <w:r>
              <w:rPr>
                <w:rFonts w:ascii="Arial" w:cs="Arial" w:eastAsia="Arial" w:hAnsi="Arial"/>
                <w:sz w:val="16"/>
                <w:szCs w:val="16"/>
                <w:b w:val="1"/>
                <w:bCs w:val="1"/>
                <w:color w:val="2B4C9B"/>
              </w:rPr>
              <w:t>$</w:t>
            </w:r>
          </w:p>
        </w:tc>
        <w:tc>
          <w:tcPr>
            <w:tcW w:w="88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(Decrease) increase in accrued plant, property, and equipment</w:t>
            </w: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2B4C9B"/>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2B4C9B"/>
              </w:rPr>
              <w:t>(3)</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7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61"/>
        </w:trPr>
        <w:tc>
          <w:tcPr>
            <w:tcW w:w="67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bl>
    <w:p>
      <w:pPr>
        <w:sectPr>
          <w:pgSz w:w="11900" w:h="16900" w:orient="portrait"/>
          <w:cols w:equalWidth="0" w:num="1">
            <w:col w:w="11420"/>
          </w:cols>
          <w:pgMar w:left="240" w:top="141" w:right="239" w:bottom="0" w:gutter="0" w:footer="0" w:header="0"/>
        </w:sectPr>
      </w:pPr>
    </w:p>
    <w:bookmarkStart w:id="53" w:name="page54"/>
    <w:bookmarkEnd w:id="53"/>
    <w:p>
      <w:pPr>
        <w:spacing w:after="0"/>
        <w:tabs>
          <w:tab w:leader="none" w:pos="6480" w:val="left"/>
          <w:tab w:leader="none" w:pos="7440" w:val="left"/>
          <w:tab w:leader="none" w:pos="8100" w:val="left"/>
          <w:tab w:leader="none" w:pos="9260" w:val="left"/>
          <w:tab w:leader="none" w:pos="9680" w:val="left"/>
          <w:tab w:leader="none" w:pos="10840" w:val="left"/>
        </w:tabs>
        <w:rPr>
          <w:sz w:val="20"/>
          <w:szCs w:val="20"/>
          <w:color w:val="auto"/>
        </w:rPr>
      </w:pPr>
      <w:r>
        <w:rPr>
          <w:rFonts w:ascii="Arial" w:cs="Arial" w:eastAsia="Arial" w:hAnsi="Arial"/>
          <w:sz w:val="16"/>
          <w:szCs w:val="16"/>
          <w:color w:val="auto"/>
        </w:rPr>
        <w:t>Fair value of equity consideration paid for acquisition</w:t>
      </w:r>
      <w:r>
        <w:rPr>
          <w:sz w:val="20"/>
          <w:szCs w:val="20"/>
          <w:color w:val="auto"/>
        </w:rPr>
        <w:tab/>
      </w:r>
      <w:r>
        <w:rPr>
          <w:rFonts w:ascii="Arial" w:cs="Arial" w:eastAsia="Arial" w:hAnsi="Arial"/>
          <w:sz w:val="16"/>
          <w:szCs w:val="16"/>
          <w:b w:val="1"/>
          <w:bCs w:val="1"/>
          <w:color w:val="2B4C9B"/>
        </w:rPr>
        <w:t>$</w:t>
      </w:r>
      <w:r>
        <w:rPr>
          <w:sz w:val="20"/>
          <w:szCs w:val="20"/>
          <w:color w:val="auto"/>
        </w:rPr>
        <w:tab/>
      </w:r>
      <w:r>
        <w:rPr>
          <w:rFonts w:ascii="Arial" w:cs="Arial" w:eastAsia="Arial" w:hAnsi="Arial"/>
          <w:sz w:val="16"/>
          <w:szCs w:val="16"/>
          <w:b w:val="1"/>
          <w:bCs w:val="1"/>
          <w:color w:val="2B4C9B"/>
        </w:rPr>
        <w:t>1,108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-104775</wp:posOffset>
            </wp:positionV>
            <wp:extent cx="72466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2B4C9B"/>
        </w:rPr>
        <w:t>F-8</w:t>
      </w:r>
    </w:p>
    <w:p>
      <w:pPr>
        <w:sectPr>
          <w:pgSz w:w="11900" w:h="16838" w:orient="portrait"/>
          <w:cols w:equalWidth="0" w:num="1">
            <w:col w:w="11040"/>
          </w:cols>
          <w:pgMar w:left="520" w:top="121" w:right="339" w:bottom="1440" w:gutter="0" w:footer="0" w:header="0"/>
        </w:sectPr>
      </w:pPr>
    </w:p>
    <w:bookmarkStart w:id="54" w:name="page55"/>
    <w:bookmarkEnd w:id="5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1—Business Overview and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Overview</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2B4C9B"/>
        </w:rPr>
        <w:t xml:space="preserve">Description of Business. </w:t>
      </w:r>
      <w:r>
        <w:rPr>
          <w:rFonts w:ascii="Arial" w:cs="Arial" w:eastAsia="Arial" w:hAnsi="Arial"/>
          <w:sz w:val="18"/>
          <w:szCs w:val="18"/>
          <w:color w:val="000000"/>
        </w:rPr>
        <w:t>Science Applications International Corporation (collectively, with its consolidated subsidiaries, the “Company”) is a</w:t>
      </w:r>
      <w:r>
        <w:rPr>
          <w:rFonts w:ascii="Arial" w:cs="Arial" w:eastAsia="Arial" w:hAnsi="Arial"/>
          <w:sz w:val="18"/>
          <w:szCs w:val="18"/>
          <w:i w:val="1"/>
          <w:iCs w:val="1"/>
          <w:color w:val="2B4C9B"/>
        </w:rPr>
        <w:t xml:space="preserve"> </w:t>
      </w:r>
      <w:r>
        <w:rPr>
          <w:rFonts w:ascii="Arial" w:cs="Arial" w:eastAsia="Arial" w:hAnsi="Arial"/>
          <w:sz w:val="18"/>
          <w:szCs w:val="18"/>
          <w:color w:val="000000"/>
        </w:rPr>
        <w:t>leading provider of technical, engineering and enterprise information technology (IT) services primarily to the U.S. government. The Company provides engineering and integration services for large, complex projects and offers a broad range of services with a targeted emphasis on higher-end, differentiated technology services. The Company is organized as a matrix comprised of three customer facing operating segments supported by a solutions and technology group. Each of the Company’s three customer facing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 see Note 14.</w:t>
      </w:r>
    </w:p>
    <w:p>
      <w:pPr>
        <w:spacing w:after="0" w:line="14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2B4C9B"/>
        </w:rPr>
        <w:t xml:space="preserve">Acquisitions. </w:t>
      </w:r>
      <w:r>
        <w:rPr>
          <w:rFonts w:ascii="Arial" w:cs="Arial" w:eastAsia="Arial" w:hAnsi="Arial"/>
          <w:sz w:val="18"/>
          <w:szCs w:val="18"/>
          <w:color w:val="000000"/>
        </w:rPr>
        <w:t>On January 14, 2019, we completed the acquisition of Engility Holdings, Inc. (collectively with its consolidated subsidiaries,</w:t>
      </w:r>
      <w:r>
        <w:rPr>
          <w:rFonts w:ascii="Arial" w:cs="Arial" w:eastAsia="Arial" w:hAnsi="Arial"/>
          <w:sz w:val="18"/>
          <w:szCs w:val="18"/>
          <w:i w:val="1"/>
          <w:iCs w:val="1"/>
          <w:color w:val="2B4C9B"/>
        </w:rPr>
        <w:t xml:space="preserve"> </w:t>
      </w:r>
      <w:r>
        <w:rPr>
          <w:rFonts w:ascii="Arial" w:cs="Arial" w:eastAsia="Arial" w:hAnsi="Arial"/>
          <w:sz w:val="18"/>
          <w:szCs w:val="18"/>
          <w:color w:val="000000"/>
        </w:rPr>
        <w:t>"Engility"), which provides increased customer and market access, as well as increased scale in strategic business areas of national interest, such as defense, federal civilian agencies, intelligence and space. On May 4, 2015, the Company acquired 100% of privately held Scitor Holdings, Inc. ("Scitor"), a leading global provider of technical services to the U.S. intelligence community and other U.S. government customers.</w:t>
      </w:r>
    </w:p>
    <w:p>
      <w:pPr>
        <w:spacing w:after="0" w:line="14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2B4C9B"/>
        </w:rPr>
        <w:t xml:space="preserve">Separation from Former Parent. </w:t>
      </w:r>
      <w:r>
        <w:rPr>
          <w:rFonts w:ascii="Arial" w:cs="Arial" w:eastAsia="Arial" w:hAnsi="Arial"/>
          <w:sz w:val="18"/>
          <w:szCs w:val="18"/>
          <w:color w:val="000000"/>
        </w:rPr>
        <w:t>The Company commenced its operations on September 27, 2013 (the Distribution Date) following completion</w:t>
      </w:r>
      <w:r>
        <w:rPr>
          <w:rFonts w:ascii="Arial" w:cs="Arial" w:eastAsia="Arial" w:hAnsi="Arial"/>
          <w:sz w:val="18"/>
          <w:szCs w:val="18"/>
          <w:i w:val="1"/>
          <w:iCs w:val="1"/>
          <w:color w:val="2B4C9B"/>
        </w:rPr>
        <w:t xml:space="preserve"> </w:t>
      </w:r>
      <w:r>
        <w:rPr>
          <w:rFonts w:ascii="Arial" w:cs="Arial" w:eastAsia="Arial" w:hAnsi="Arial"/>
          <w:sz w:val="18"/>
          <w:szCs w:val="18"/>
          <w:color w:val="000000"/>
        </w:rPr>
        <w:t>of a tax-free spin-off transaction from its former parent company, Leidos Holdings, Inc. (formerly SAIC, Inc., collectively with its consolidated subsidiaries, “former Parent”). In the spin-off transaction, former Parent’s technical, engineering and enterprise IT services business was separated (the separation) into an independent, publicly traded company named Science Applications International Corporation (formerly SAIC Gemini,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Principles of Consolidation and Basis of Presentation</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References to “financial statements” refer to the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 Certain amounts in the prior year financial statements have been reclassified to conform to the current year presentation.</w:t>
      </w:r>
    </w:p>
    <w:p>
      <w:pPr>
        <w:spacing w:after="0" w:line="147"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2B4C9B"/>
        </w:rPr>
        <w:t xml:space="preserve">Non-controlling Interest. </w:t>
      </w:r>
      <w:r>
        <w:rPr>
          <w:rFonts w:ascii="Arial" w:cs="Arial" w:eastAsia="Arial" w:hAnsi="Arial"/>
          <w:sz w:val="18"/>
          <w:szCs w:val="18"/>
          <w:color w:val="000000"/>
        </w:rPr>
        <w:t>As a result of the acquisition of Engility, the Company holds a 50.1% majority interest in Forfeiture Support Associates</w:t>
      </w:r>
      <w:r>
        <w:rPr>
          <w:rFonts w:ascii="Arial" w:cs="Arial" w:eastAsia="Arial" w:hAnsi="Arial"/>
          <w:sz w:val="18"/>
          <w:szCs w:val="18"/>
          <w:i w:val="1"/>
          <w:iCs w:val="1"/>
          <w:color w:val="2B4C9B"/>
        </w:rPr>
        <w:t xml:space="preserve"> </w:t>
      </w:r>
      <w:r>
        <w:rPr>
          <w:rFonts w:ascii="Arial" w:cs="Arial" w:eastAsia="Arial" w:hAnsi="Arial"/>
          <w:sz w:val="18"/>
          <w:szCs w:val="18"/>
          <w:color w:val="000000"/>
        </w:rPr>
        <w:t>J.V. (FSA). The results of operations of FSA are included in the Company's consolidated statements of operations. The non-controlling interest reported on the consolidated balance sheets represents the portion of FSA’s equity that is attributable to the non-controlling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Use of Estimates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pension and defined benefit plan obligations, and contingencies. Estimates have been prepared by management on the basis of the most current and best available information at the time of estimation and actual results could differ from those estimates.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F-9</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Restructuring</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fiscal 2018, the Company initiated restructuring activities (the "Restructuring") intended to improve operational efficiency, reduce costs, and better position the Company to drive future growth. The restructuring activities consisted of involuntary and voluntary terminations and the consolidation of existing leased facilities. The Company completed the Restructuring in fiscal 2018 with total restructuring costs of approximately $13 million, comprised of $ 6 million for employee severance and $7 million of lease exit costs. For fiscal year 2018, $6 million of restructuring costs are included in cost of revenues and $7 million in selling, general and administrative expenses in the consolidated statements of income. The Company made cash payments of $5 million and $1 million during fiscal 2018 and fiscal 2019, respectively, for severance associated with the Restructuring. The liability associated with lease exit costs will be substantially settled by the end of fiscal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Reporting Periods</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utilizes a 52/53 week fiscal year ending on the Friday closest to January 31, with fiscal quarters typically consisting of 13 weeks. Fiscal 2017 began on January 30, 2016 and ended on February 3, 2017, fiscal 2018 began on February 4, 2017 and ended on February 2, 2018, and fiscal 2019 began on February 3, 2018 and ended on February 1, 2019. The number of weeks for each quarter for fiscal 2019, 2018 and 2017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Borders>
              <w:bottom w:val="single" w:sz="8" w:color="2B4C9B"/>
            </w:tcBorders>
          </w:tcPr>
          <w:p>
            <w:pPr>
              <w:spacing w:after="0"/>
              <w:rPr>
                <w:sz w:val="17"/>
                <w:szCs w:val="17"/>
                <w:color w:val="auto"/>
              </w:rPr>
            </w:pPr>
          </w:p>
        </w:tc>
        <w:tc>
          <w:tcPr>
            <w:tcW w:w="4140" w:type="dxa"/>
            <w:vAlign w:val="bottom"/>
            <w:tcBorders>
              <w:bottom w:val="single" w:sz="8" w:color="2B4C9B"/>
            </w:tcBorders>
          </w:tcPr>
          <w:p>
            <w:pPr>
              <w:jc w:val="right"/>
              <w:ind w:right="253"/>
              <w:spacing w:after="0"/>
              <w:rPr>
                <w:sz w:val="20"/>
                <w:szCs w:val="20"/>
                <w:color w:val="auto"/>
              </w:rPr>
            </w:pPr>
            <w:r>
              <w:rPr>
                <w:rFonts w:ascii="Arial" w:cs="Arial" w:eastAsia="Arial" w:hAnsi="Arial"/>
                <w:sz w:val="14"/>
                <w:szCs w:val="14"/>
                <w:b w:val="1"/>
                <w:bCs w:val="1"/>
                <w:color w:val="2B4C9B"/>
              </w:rPr>
              <w:t>Fiscal 2019</w:t>
            </w:r>
          </w:p>
        </w:tc>
        <w:tc>
          <w:tcPr>
            <w:tcW w:w="1660" w:type="dxa"/>
            <w:vAlign w:val="bottom"/>
            <w:tcBorders>
              <w:bottom w:val="single" w:sz="8" w:color="2B4C9B"/>
            </w:tcBorders>
          </w:tcPr>
          <w:p>
            <w:pPr>
              <w:jc w:val="right"/>
              <w:ind w:right="335"/>
              <w:spacing w:after="0"/>
              <w:rPr>
                <w:sz w:val="20"/>
                <w:szCs w:val="20"/>
                <w:color w:val="auto"/>
              </w:rPr>
            </w:pPr>
            <w:r>
              <w:rPr>
                <w:rFonts w:ascii="Arial" w:cs="Arial" w:eastAsia="Arial" w:hAnsi="Arial"/>
                <w:sz w:val="14"/>
                <w:szCs w:val="14"/>
                <w:color w:val="auto"/>
              </w:rPr>
              <w:t>Fiscal 2018</w:t>
            </w: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Fiscal 2017</w:t>
            </w:r>
          </w:p>
        </w:tc>
      </w:tr>
      <w:tr>
        <w:trPr>
          <w:trHeight w:val="264"/>
        </w:trPr>
        <w:tc>
          <w:tcPr>
            <w:tcW w:w="4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660" w:type="dxa"/>
            <w:vAlign w:val="bottom"/>
          </w:tcPr>
          <w:p>
            <w:pPr>
              <w:jc w:val="right"/>
              <w:ind w:right="715"/>
              <w:spacing w:after="0"/>
              <w:rPr>
                <w:sz w:val="20"/>
                <w:szCs w:val="20"/>
                <w:color w:val="auto"/>
              </w:rPr>
            </w:pPr>
            <w:r>
              <w:rPr>
                <w:rFonts w:ascii="Arial" w:cs="Arial" w:eastAsia="Arial" w:hAnsi="Arial"/>
                <w:sz w:val="14"/>
                <w:szCs w:val="14"/>
                <w:color w:val="auto"/>
              </w:rPr>
              <w:t>(weeks)</w:t>
            </w:r>
          </w:p>
        </w:tc>
        <w:tc>
          <w:tcPr>
            <w:tcW w:w="1280" w:type="dxa"/>
            <w:vAlign w:val="bottom"/>
          </w:tcPr>
          <w:p>
            <w:pPr>
              <w:spacing w:after="0"/>
              <w:rPr>
                <w:sz w:val="22"/>
                <w:szCs w:val="22"/>
                <w:color w:val="auto"/>
              </w:rPr>
            </w:pPr>
          </w:p>
        </w:tc>
      </w:tr>
      <w:tr>
        <w:trPr>
          <w:trHeight w:val="276"/>
        </w:trPr>
        <w:tc>
          <w:tcPr>
            <w:tcW w:w="4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4140" w:type="dxa"/>
            <w:vAlign w:val="bottom"/>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140" w:type="dxa"/>
            <w:vAlign w:val="bottom"/>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7"/>
        </w:trPr>
        <w:tc>
          <w:tcPr>
            <w:tcW w:w="4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4140" w:type="dxa"/>
            <w:vAlign w:val="bottom"/>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64"/>
        </w:trPr>
        <w:tc>
          <w:tcPr>
            <w:tcW w:w="4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Fourth Quarter</w:t>
            </w:r>
          </w:p>
        </w:tc>
        <w:tc>
          <w:tcPr>
            <w:tcW w:w="4140" w:type="dxa"/>
            <w:vAlign w:val="bottom"/>
            <w:tcBorders>
              <w:bottom w:val="single" w:sz="8" w:color="2B4C9B"/>
            </w:tcBorders>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tcBorders>
              <w:bottom w:val="single" w:sz="8" w:color="2B4C9B"/>
            </w:tcBorders>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13</w:t>
            </w:r>
          </w:p>
        </w:tc>
      </w:tr>
      <w:tr>
        <w:trPr>
          <w:trHeight w:val="277"/>
        </w:trPr>
        <w:tc>
          <w:tcPr>
            <w:tcW w:w="4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Fiscal Year</w:t>
            </w:r>
          </w:p>
        </w:tc>
        <w:tc>
          <w:tcPr>
            <w:tcW w:w="4140" w:type="dxa"/>
            <w:vAlign w:val="bottom"/>
            <w:tcBorders>
              <w:bottom w:val="single" w:sz="8" w:color="2B4C9B"/>
            </w:tcBorders>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52</w:t>
            </w:r>
          </w:p>
        </w:tc>
        <w:tc>
          <w:tcPr>
            <w:tcW w:w="1660" w:type="dxa"/>
            <w:vAlign w:val="bottom"/>
            <w:tcBorders>
              <w:bottom w:val="single" w:sz="8" w:color="2B4C9B"/>
            </w:tcBorders>
            <w:shd w:val="clear" w:color="auto" w:fill="CFF0FC"/>
          </w:tcPr>
          <w:p>
            <w:pPr>
              <w:jc w:val="right"/>
              <w:ind w:right="335"/>
              <w:spacing w:after="0"/>
              <w:rPr>
                <w:sz w:val="20"/>
                <w:szCs w:val="20"/>
                <w:color w:val="auto"/>
              </w:rPr>
            </w:pPr>
            <w:r>
              <w:rPr>
                <w:rFonts w:ascii="Arial" w:cs="Arial" w:eastAsia="Arial" w:hAnsi="Arial"/>
                <w:sz w:val="18"/>
                <w:szCs w:val="18"/>
                <w:color w:val="auto"/>
              </w:rPr>
              <w:t>52</w:t>
            </w:r>
          </w:p>
        </w:tc>
        <w:tc>
          <w:tcPr>
            <w:tcW w:w="12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53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Stock-based Compensation</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issues stock-based awards as compensation to employees and directors. Stock-based awards include stock options, vesting stock awards and performance share awards. These awards are accounted for as equity awards. The Company recognizes stock-based compensation expense net of estimated forfeitures on a straight-line basis over the underlying award’s requisite service period, as measured using the award’s grant date fair value. For performance share awards, the Company reassesses the probability of achieving the performance conditions at each reporting period end and adjusts compensation expense based on the number of shares the Company expects to ultimately issue.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Income Taxes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accounts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local and foreign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Recording the provision for income taxes requires management to make significant judgments and estimates for matters for which the ultimate resolution may not become known until the final resolution of an examination by taxing authorities or the statute of limitations lapses. Additionally, recording liabilities for uncertainty in income taxes involves significant judgment in evaluating the Company’s tax positions and developing the best estimate of the taxes ultimately expected to be paid. Tax penalties and interest are included in income tax expense.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F-10</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records net deferred tax assets to the extent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it is determined that the Company would be able to realize the deferred income tax assets in the future in excess of their net recorded amount or would no longer be able to realize the deferred income tax assets in the future as currently recorded, an adjustment would be made to the valuation allowance which would decrease or increase the provision for income taxes.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also recognized liabilities for uncertainty in income taxes when it is more likely than not that a tax position will not be sustained on examination and settlement with various taxing authorities. Liabilities for uncertainty in income taxes are measured based on the largest amount of benefit that is greater than 50% likely of being realized upon ultimate settlement. Deferred tax assets and liabilities are netted by taxable jurisdiction and classified as noncurrent on the consolidated balance sheets.</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Tax Cuts and Jobs Act (the “Tax Act”) was enacted on December 22, 2017, which amends the Internal Revenue Code to reduce tax rates and modify policies, credits, and deductions for individuals and businesses. For businesses, the Tax Act reduces the corporate federal tax rate from a maximum of 35% to a flat 21% rate, effective January 1, 2018. The rate change is administratively effective at the beginning of our fiscal year 2018, using a blended rate for the fiscal 2018 annual period. As a result, the Company's blended federal statutory tax rate for fiscal year 2018 was 33.7%. The Company has a statutory rate of 21% for fiscal year 2019 and all future periods.</w:t>
      </w:r>
    </w:p>
    <w:p>
      <w:pPr>
        <w:spacing w:after="0" w:line="16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SEC staff issued Staff Accounting Bulletin No 118 (“SAB 118”), which allows us to record provisional amounts during a measurement period not to extend beyond one year of the enactment date. The final amount recorded related to the re-measurement of the Company's net deferred tax liabilities was a $ 19 million discrete net tax benefit. A net benefit for the corporate rate reduction of $17 million was recognized in income tax expense for fiscal 2018, and an additional $2 million benefit was recognized in income tax expense for fiscal 2019. This rate reduction resulted in a corresponding net decrease of deferred tax liabilities.</w:t>
      </w:r>
    </w:p>
    <w:p>
      <w:pPr>
        <w:spacing w:after="0" w:line="1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February 1, 2019, we have completed our accounting for the tax effects of enactment of the Tax Act. Prior to February 1, 2019, there were two areas still under review including: (1) the expensing of qualified assets and (2) the limitation on the deductibility of certain executive compensation. No material measurement period adjustments were required as a result of this review.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Costs Allocated to Contracts</w:t>
      </w:r>
    </w:p>
    <w:p>
      <w:pPr>
        <w:spacing w:after="0" w:line="20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classifies indirect costs as overhead (included in cost of revenues) or general and administrative expenses in the same manner as such costs are defined in the Company’s Disclosure Statements under U.S. government Cost Accounting Standards (CAS).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Cash, Cash Equivalents and Restricted Cash</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and cash equivalents are comprised of cash in banks and highly liquid instruments, which primarily consist of bank deposits and investments in institutional money market funds. The Company includes outstanding payments within cash and cash equivalents and accounts payable on the consolidated balance sheets and as of February 1, 2019 and February 2, 2018 these amounts were $47 million and $31 million, respectively. The Company does not invest in high yield or high risk securities. The cash in bank accounts at times may exceed federally insured limits.</w:t>
      </w:r>
    </w:p>
    <w:p>
      <w:pPr>
        <w:spacing w:after="0" w:line="1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Restricted cash consists of cash on deposit in rabbi trusts that are contractually restricted from use in operations, but are subject to future claims of creditors. Restricted cash will be used to fund future payments to settle the Company's obligations related to deferred compensation plans. The following table provides a reconciliation of cash, cash equivalents and restricted cash to amounts reported within the consolidated balance sheets for the periods presented: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F-11</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Borders>
              <w:bottom w:val="single" w:sz="8" w:color="2B4C9B"/>
            </w:tcBorders>
          </w:tcPr>
          <w:p>
            <w:pPr>
              <w:spacing w:after="0"/>
              <w:rPr>
                <w:sz w:val="17"/>
                <w:szCs w:val="17"/>
                <w:color w:val="auto"/>
              </w:rPr>
            </w:pPr>
          </w:p>
        </w:tc>
        <w:tc>
          <w:tcPr>
            <w:tcW w:w="260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ind w:left="60"/>
              <w:spacing w:after="0"/>
              <w:rPr>
                <w:sz w:val="20"/>
                <w:szCs w:val="20"/>
                <w:color w:val="auto"/>
              </w:rPr>
            </w:pPr>
            <w:r>
              <w:rPr>
                <w:rFonts w:ascii="Arial" w:cs="Arial" w:eastAsia="Arial" w:hAnsi="Arial"/>
                <w:sz w:val="14"/>
                <w:szCs w:val="14"/>
                <w:b w:val="1"/>
                <w:bCs w:val="1"/>
                <w:color w:val="2B4C9B"/>
              </w:rPr>
              <w:t>February 1, 2019</w:t>
            </w:r>
          </w:p>
        </w:tc>
        <w:tc>
          <w:tcPr>
            <w:tcW w:w="20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February 2, 2018</w:t>
            </w:r>
          </w:p>
        </w:tc>
      </w:tr>
      <w:tr>
        <w:trPr>
          <w:trHeight w:val="250"/>
        </w:trPr>
        <w:tc>
          <w:tcPr>
            <w:tcW w:w="59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900" w:type="dxa"/>
            <w:vAlign w:val="bottom"/>
            <w:gridSpan w:val="4"/>
          </w:tcPr>
          <w:p>
            <w:pPr>
              <w:jc w:val="right"/>
              <w:ind w:right="1074"/>
              <w:spacing w:after="0"/>
              <w:rPr>
                <w:sz w:val="20"/>
                <w:szCs w:val="20"/>
                <w:color w:val="auto"/>
              </w:rPr>
            </w:pPr>
            <w:r>
              <w:rPr>
                <w:rFonts w:ascii="Arial" w:cs="Arial" w:eastAsia="Arial" w:hAnsi="Arial"/>
                <w:sz w:val="14"/>
                <w:szCs w:val="14"/>
                <w:color w:val="auto"/>
              </w:rPr>
              <w:t>(in millions)</w:t>
            </w:r>
          </w:p>
        </w:tc>
      </w:tr>
      <w:tr>
        <w:trPr>
          <w:trHeight w:val="276"/>
        </w:trPr>
        <w:tc>
          <w:tcPr>
            <w:tcW w:w="5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00" w:type="dxa"/>
            <w:vAlign w:val="bottom"/>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237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144</w:t>
            </w:r>
          </w:p>
        </w:tc>
      </w:tr>
      <w:tr>
        <w:trPr>
          <w:trHeight w:val="264"/>
        </w:trPr>
        <w:tc>
          <w:tcPr>
            <w:tcW w:w="59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60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b w:val="1"/>
                <w:bCs w:val="1"/>
                <w:color w:val="2A4C9B"/>
              </w:rPr>
              <w:t>9</w:t>
            </w:r>
          </w:p>
        </w:tc>
        <w:tc>
          <w:tcPr>
            <w:tcW w:w="120" w:type="dxa"/>
            <w:vAlign w:val="bottom"/>
            <w:tcBorders>
              <w:bottom w:val="single" w:sz="8" w:color="2A4C9B"/>
            </w:tcBorders>
          </w:tcPr>
          <w:p>
            <w:pPr>
              <w:spacing w:after="0"/>
              <w:rPr>
                <w:sz w:val="22"/>
                <w:szCs w:val="22"/>
                <w:color w:val="auto"/>
              </w:rPr>
            </w:pPr>
          </w:p>
        </w:tc>
        <w:tc>
          <w:tcPr>
            <w:tcW w:w="2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8</w:t>
            </w:r>
          </w:p>
        </w:tc>
      </w:tr>
      <w:tr>
        <w:trPr>
          <w:trHeight w:val="277"/>
        </w:trPr>
        <w:tc>
          <w:tcPr>
            <w:tcW w:w="59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6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1300" w:type="dxa"/>
            <w:vAlign w:val="bottom"/>
            <w:tcBorders>
              <w:bottom w:val="single" w:sz="8" w:color="2B4C9B"/>
            </w:tcBorders>
            <w:shd w:val="clear" w:color="auto" w:fill="CFF0FC"/>
          </w:tcPr>
          <w:p>
            <w:pPr>
              <w:jc w:val="right"/>
              <w:ind w:right="17"/>
              <w:spacing w:after="0"/>
              <w:rPr>
                <w:sz w:val="20"/>
                <w:szCs w:val="20"/>
                <w:color w:val="auto"/>
              </w:rPr>
            </w:pPr>
            <w:r>
              <w:rPr>
                <w:rFonts w:ascii="Arial" w:cs="Arial" w:eastAsia="Arial" w:hAnsi="Arial"/>
                <w:sz w:val="18"/>
                <w:szCs w:val="18"/>
                <w:b w:val="1"/>
                <w:bCs w:val="1"/>
                <w:color w:val="2A4C9B"/>
              </w:rPr>
              <w:t>246</w:t>
            </w:r>
          </w:p>
        </w:tc>
        <w:tc>
          <w:tcPr>
            <w:tcW w:w="120" w:type="dxa"/>
            <w:vAlign w:val="bottom"/>
            <w:tcBorders>
              <w:bottom w:val="single" w:sz="8" w:color="2A4C9B"/>
            </w:tcBorders>
            <w:shd w:val="clear" w:color="auto" w:fill="CFF0FC"/>
          </w:tcPr>
          <w:p>
            <w:pPr>
              <w:spacing w:after="0"/>
              <w:rPr>
                <w:sz w:val="24"/>
                <w:szCs w:val="24"/>
                <w:color w:val="auto"/>
              </w:rPr>
            </w:pPr>
          </w:p>
        </w:tc>
        <w:tc>
          <w:tcPr>
            <w:tcW w:w="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152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Receivables</w:t>
      </w:r>
    </w:p>
    <w:p>
      <w:pPr>
        <w:spacing w:after="0" w:line="20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Receivables include billed and billable receivables, and unbilled receivables. 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w:t>
      </w:r>
    </w:p>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Unbilled receivables, substantially all of which are expected to be billed and collected within one year, are stated at their estimated realizable value and consist of costs and fees billable on contract completion or the occurrence of a specified event, other than the passage of time. Legal title to the related accumulated costs of contracts in progress generally vests with the U.S. government on the Company’s receipt of progress payments. Progress payments received of $26 million and $20 million offset unbilled receivables as of February 1, 2019 and February 2, 2018, respectively. Contract retentions are billed when contract conditions have been met and may relate to uncompleted indirect cost negotiations with the U.S. government. Based on historical experience, the majority of retention balances are expected to be collected beyond one year. In fiscal 2018 retention of $11 million was presented within receivables, net on the consolidated balance sheet. With the modified retrospective method of adoption of ASC 606 in fiscal 2019, retention is now presented as a non-current asset in other assets on the consolidated balance sheet, see Note 3. Write-offs of retention balances have not been significant. The Company establishes an allowance for doubtful accounts based on the latest information available to determine whether outstanding invoices are ultimately collectable. The Company determines its allowance for doubtful accounts by analyzing individual receivables, historical bad debts, and, for non-U.S. government customers, customer creditworthiness. Receivable balances are written off in the period during which management determines they are uncollectable, and, at that time, such balances are removed from billed receivables and, if previously reserved, from the allowance for doubtful accounts.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Inventory</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Inventory is substantially comprised of finished goods inventory purchased for resale to customers, such as tires and lubricants, and is valued at the lower of cost or net realizable value, generally using the average method. The Company evaluates current inventory against historical and planned usage to estimate the appropriate provision for obsolete inventory.</w:t>
      </w:r>
    </w:p>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recognized a $26 million provision for inventory within cost of revenues during fiscal 2019 related to firm purchase commitments on a firm-fixed price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Business Combinations</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records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the Company may adjust provisional amounts recorded for assets acquired and liabilities assumed to reflect new information that the Company has subsequently obtained regarding facts and circumstances that existed as of the acquisition 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F-12</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Acquisition-related costs that are not part of the purchase price consideration are expensed as incurred. These costs typically include transaction-related costs, such as finder’s fees, and legal, accounting and other professional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 and Intangible Assets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Goodwill is recorded as the difference, if any, between the aggregate consideration paid for an acquisition and the fair value of the net tangible and intangible assets acquired and liabilities assumed. Goodwill and indefinite-lived intangible assets are not amortized, but rather are tested for potential impairment annually at the beginning of the fourth quarter, or whenever events or changes in circumstances indicate that the carrying value may not be recoverable. There were no impairments during the periods presented.</w:t>
      </w:r>
    </w:p>
    <w:p>
      <w:pPr>
        <w:spacing w:after="0" w:line="16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The fair value of the Company’s reporting units are determined using either a market approach, income approach, or a combination of both, which involves the use of estimates and assumptions, including projected future operating results and cash flows, the cost of capital, and financial measures derived from observable market data of comparable public companies. If the fair value is less than the carrying value, the amount of impairment expense is equal to the difference between the reporting unit’s fair value and the reporting unit’s carrying value.</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Impairment of Long-lived Assets</w:t>
      </w:r>
    </w:p>
    <w:p>
      <w:pPr>
        <w:spacing w:after="0" w:line="2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Commitments and Contingencies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Accruals for commitments and loss contingencies are recorded when it is both probable that they will occur and the amounts can be reasonably estimated. In addition, legal fees are accrued for cases where a loss is probable and the related fees can be reasonably estimated. Significant judgment is required to determine both probability and the estimated amount of loss. The Company reviews these accruals quarterly and adjusts the accruals to reflect the impact of negotiations, settlements, rulings, advice of legal counsel and other updated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Pension and Defined Benefit Plans</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measures plan assets and benefit obligations as of the month-end that is closest to its fiscal year-end. Accounting and reporting for the Company's pension and defined benefit plans requires the use of assumptions, including but not limited to, a discount rate and an expected return on assets. These assumptions are reviewed at least annually based on reviews of current plan information and consultation with the Company's independent actuary and the plans’ investment advisor. If these assumptions differ materially from actual results, the Company's obligations under the pension and defined benefit plans could also differ materially, potentially requiring the Company to record an additional liability. The Company's pension and defined benefit plan liabilities are developed from actuarial valuations, which are performed each year.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F-13</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Fair Value Measurements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utilizes fair value measurement guidance prescribed by GAAP to value its financial instruments. 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carrying amounts of cash and cash equivalents, receivables, accounts payable and other amounts included in other current assets and current liabilities that meet the definition of a financial instrument approximate fair value because of the short-term nature of these amounts. The carrying value of the Company’s outstanding debt obligations approximates its fair value. The fair value of long-term debt is calculated using Level 2 inputs, based on interest rates available for debt with terms and maturities similar to the Company’s existing debt arrangements.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Non-financial instruments were measured at fair value in connection with the acquisition of Engility, see Note 4. The fair values of the assets acquired and liabilities assumed were preliminarily determined using income, market and cost valuation methodologies. The fair value measurements were estimated using significant inputs that are not observable in the market and thus represent a Level 3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Derivative Instruments Designated as Cash Flow Hedges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 The ineffective portion of all hedges, if any, is recognized immediately in earnings.</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fixed interest rate swaps are considered over-the-counter derivatives, and fair value is calculated using a standard pricing model for interest rate swaps with contractual terms for maturities, amortization and interest rates. Level 2, or market observable inputs (such as yield and credit curves), are used within the standard pricing models in order to determine fair value. The fair value is an estimate of the amount that the Company would pay or receive as of a measurement date if the agreements were transferred to a third party or canceled. See Note 11 for further discussion on the Company’s derivative instruments designated as cash flow hedges.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Operating Cycle</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operating cycle may be greater than one year and is measured by the average time intervening between the inception and the completion of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Research and Development</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independent research and development (IR&amp;D) funds. IR&amp;D efforts consist of projects involving basic research, applied research, development, and systems and other concept formulation studies. Company-funded IR&amp;D expense is included in selling, general and administrative expenses and was $ 5 million, $4 million and $4 million in fiscal 2019, 2018 and 2017, respectively. Customer-funded research and development activities performed under customer contracts are charged directly to cost of revenues for those particular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Accounting Standards Updates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which supersedes the revenue recognition requirements and some cost guidance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(ASC). This ASU is based on the principle that revenue is recognized to depict the transfer of goods or services to customers at an amount that reflects the consideration to which the entity expects to be entitled in exchange for those goods or services. The ASU also requires additional disclosures about the nature, amount, timing and uncertainty of revenue and cash flows arising from customer contracts, including significant judgments and changes in judgments, and assets recognized from costs incurred to obtain or fulfill a contract.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F-14</w:t>
      </w:r>
    </w:p>
    <w:p>
      <w:pPr>
        <w:sectPr>
          <w:pgSz w:w="11900" w:h="16838" w:orient="portrait"/>
          <w:cols w:equalWidth="0" w:num="1">
            <w:col w:w="11400"/>
          </w:cols>
          <w:pgMar w:left="240" w:top="141" w:right="259" w:bottom="1440" w:gutter="0" w:footer="0" w:header="0"/>
        </w:sectPr>
      </w:pPr>
    </w:p>
    <w:bookmarkStart w:id="60" w:name="page61"/>
    <w:bookmarkEnd w:id="6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the standard on February 3, 2018, using the modified retrospective method. Under this method, the Company recognized the cumulative effect of adoption as an adjustment to its opening balance of retained earnings on February 3, 2018. In determining the cumulative impact of the adoption the Company applied the provisions of ASC 606 only to contracts that had not yet been completed at the date of adoption.</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 periods were not retrospectively adjusted, but the Company has maintained dual reporting for the year of initial application, disclosing the effect of adoption.</w:t>
      </w:r>
    </w:p>
    <w:p>
      <w:pPr>
        <w:spacing w:after="0" w:line="15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new standard, the Company continues to recognize revenue over time as services are rendered to fulfill its contractual obligations; however, the Company generally accounts for customer option period exercises (renewals) and service contract modifications prospectively, instead of as a cumulative adjustment to revenue under a single unit of accounting. Also, under the new standard, award and incentive-based fees generally are recognized during the discrete periods of performance to which they relate as opposed to on a cumulative basis over the contract period. The net impact to opening retained earnings from these changes as a result of the adoption was $3 million.</w:t>
      </w:r>
    </w:p>
    <w:p>
      <w:pPr>
        <w:spacing w:after="0" w:line="16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no longer defers the recognition of revenues and costs associated with significant upfront material acquisitions on programs previously accounted for using the efforts-expended method of percentage of completion. Under the new standard, the Company recognizes revenue on an adjusted cost-to-cost basis, where the amount of revenue that is recognized is equal to the amount of costs incurred plus profit based on the adjusted cost input measure of progress. This change resulted in a $15 million reduction in other current assets and other accrued liabilities on February 3, 2018, but had no impact on the adjustment to opening retained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adopting ASC 606 on the Company's opening balance sheet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2B4C9B"/>
              </w:rPr>
              <w:t>Opening</w:t>
            </w:r>
          </w:p>
        </w:tc>
      </w:tr>
      <w:tr>
        <w:trPr>
          <w:trHeight w:val="162"/>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2B4C9B"/>
              </w:rPr>
              <w:t>Balance at</w:t>
            </w:r>
          </w:p>
        </w:tc>
      </w:tr>
      <w:tr>
        <w:trPr>
          <w:trHeight w:val="162"/>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Balance at</w:t>
            </w: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Adjustments due</w:t>
            </w:r>
          </w:p>
        </w:tc>
        <w:tc>
          <w:tcPr>
            <w:tcW w:w="22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2B4C9B"/>
              </w:rPr>
              <w:t>February 3,</w:t>
            </w:r>
          </w:p>
        </w:tc>
      </w:tr>
      <w:tr>
        <w:trPr>
          <w:trHeight w:val="196"/>
        </w:trPr>
        <w:tc>
          <w:tcPr>
            <w:tcW w:w="776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gridSpan w:val="2"/>
          </w:tcPr>
          <w:p>
            <w:pPr>
              <w:ind w:left="40"/>
              <w:spacing w:after="0"/>
              <w:rPr>
                <w:sz w:val="20"/>
                <w:szCs w:val="20"/>
                <w:color w:val="auto"/>
              </w:rPr>
            </w:pPr>
            <w:r>
              <w:rPr>
                <w:rFonts w:ascii="Arial" w:cs="Arial" w:eastAsia="Arial" w:hAnsi="Arial"/>
                <w:sz w:val="14"/>
                <w:szCs w:val="14"/>
                <w:color w:val="auto"/>
              </w:rPr>
              <w:t>February 2, 2018</w:t>
            </w:r>
          </w:p>
        </w:tc>
        <w:tc>
          <w:tcPr>
            <w:tcW w:w="22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174"/>
              <w:spacing w:after="0"/>
              <w:rPr>
                <w:sz w:val="20"/>
                <w:szCs w:val="20"/>
                <w:color w:val="auto"/>
              </w:rPr>
            </w:pPr>
            <w:r>
              <w:rPr>
                <w:rFonts w:ascii="Arial" w:cs="Arial" w:eastAsia="Arial" w:hAnsi="Arial"/>
                <w:sz w:val="14"/>
                <w:szCs w:val="14"/>
                <w:color w:val="auto"/>
              </w:rPr>
              <w:t>to ASC 606</w:t>
            </w:r>
          </w:p>
        </w:tc>
        <w:tc>
          <w:tcPr>
            <w:tcW w:w="22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center"/>
              <w:ind w:right="56"/>
              <w:spacing w:after="0"/>
              <w:rPr>
                <w:sz w:val="20"/>
                <w:szCs w:val="20"/>
                <w:color w:val="auto"/>
              </w:rPr>
            </w:pPr>
            <w:r>
              <w:rPr>
                <w:rFonts w:ascii="Arial" w:cs="Arial" w:eastAsia="Arial" w:hAnsi="Arial"/>
                <w:sz w:val="14"/>
                <w:szCs w:val="14"/>
                <w:b w:val="1"/>
                <w:bCs w:val="1"/>
                <w:color w:val="2B4C9B"/>
              </w:rPr>
              <w:t>2018</w:t>
            </w:r>
          </w:p>
        </w:tc>
      </w:tr>
      <w:tr>
        <w:trPr>
          <w:trHeight w:val="258"/>
        </w:trPr>
        <w:tc>
          <w:tcPr>
            <w:tcW w:w="7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7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5"/>
        </w:trPr>
        <w:tc>
          <w:tcPr>
            <w:tcW w:w="7760" w:type="dxa"/>
            <w:vAlign w:val="bottom"/>
          </w:tcPr>
          <w:p>
            <w:pPr>
              <w:ind w:left="40"/>
              <w:spacing w:after="0"/>
              <w:rPr>
                <w:sz w:val="20"/>
                <w:szCs w:val="20"/>
                <w:color w:val="auto"/>
              </w:rPr>
            </w:pPr>
            <w:r>
              <w:rPr>
                <w:rFonts w:ascii="Arial" w:cs="Arial" w:eastAsia="Arial" w:hAnsi="Arial"/>
                <w:sz w:val="18"/>
                <w:szCs w:val="18"/>
                <w:b w:val="1"/>
                <w:bCs w:val="1"/>
                <w:color w:val="2B4C9B"/>
              </w:rPr>
              <w:t>Assets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7"/>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673</w:t>
            </w:r>
          </w:p>
        </w:tc>
      </w:tr>
      <w:tr>
        <w:trPr>
          <w:trHeight w:val="263"/>
        </w:trPr>
        <w:tc>
          <w:tcPr>
            <w:tcW w:w="77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2B4C9B"/>
              </w:rPr>
              <w:t>66</w:t>
            </w:r>
          </w:p>
        </w:tc>
      </w:tr>
      <w:tr>
        <w:trPr>
          <w:trHeight w:val="277"/>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14</w:t>
            </w:r>
          </w:p>
        </w:tc>
      </w:tr>
      <w:tr>
        <w:trPr>
          <w:trHeight w:val="257"/>
        </w:trPr>
        <w:tc>
          <w:tcPr>
            <w:tcW w:w="77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2B4C9B"/>
              </w:rPr>
              <w:t>31</w:t>
            </w:r>
          </w:p>
        </w:tc>
      </w:tr>
      <w:tr>
        <w:trPr>
          <w:trHeight w:val="311"/>
        </w:trPr>
        <w:tc>
          <w:tcPr>
            <w:tcW w:w="7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776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2B4C9B"/>
              </w:rPr>
              <w:t>Liabilities and Equity</w:t>
            </w: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r>
      <w:tr>
        <w:trPr>
          <w:trHeight w:val="284"/>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94</w:t>
            </w:r>
          </w:p>
        </w:tc>
      </w:tr>
      <w:tr>
        <w:trPr>
          <w:trHeight w:val="263"/>
        </w:trPr>
        <w:tc>
          <w:tcPr>
            <w:tcW w:w="77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2B4C9B"/>
              </w:rPr>
              <w:t>24</w:t>
            </w:r>
          </w:p>
        </w:tc>
      </w:tr>
      <w:tr>
        <w:trPr>
          <w:trHeight w:val="277"/>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47</w:t>
            </w:r>
          </w:p>
        </w:tc>
      </w:tr>
      <w:tr>
        <w:trPr>
          <w:trHeight w:val="257"/>
        </w:trPr>
        <w:tc>
          <w:tcPr>
            <w:tcW w:w="77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2B4C9B"/>
              </w:rPr>
              <w:t>326</w:t>
            </w:r>
          </w:p>
        </w:tc>
      </w:tr>
    </w:tbl>
    <w:p>
      <w:pPr>
        <w:spacing w:after="0" w:line="18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amounts by which the Company’s financial statements were impacted by the adoption of ASC 606, as compared to the guidance in effect before the change, as of and for the twelve months ended February 1, 2019 were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F-15</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2B4C9B"/>
            </w:tcBorders>
          </w:tcPr>
          <w:p>
            <w:pPr>
              <w:spacing w:after="0"/>
              <w:rPr>
                <w:sz w:val="15"/>
                <w:szCs w:val="15"/>
                <w:color w:val="auto"/>
              </w:rPr>
            </w:pPr>
          </w:p>
        </w:tc>
        <w:tc>
          <w:tcPr>
            <w:tcW w:w="3040" w:type="dxa"/>
            <w:vAlign w:val="bottom"/>
            <w:tcBorders>
              <w:bottom w:val="single" w:sz="8" w:color="2B4C9B"/>
            </w:tcBorders>
            <w:gridSpan w:val="4"/>
          </w:tcPr>
          <w:p>
            <w:pPr>
              <w:jc w:val="center"/>
              <w:ind w:left="233"/>
              <w:spacing w:after="0"/>
              <w:rPr>
                <w:sz w:val="20"/>
                <w:szCs w:val="20"/>
                <w:color w:val="auto"/>
              </w:rPr>
            </w:pPr>
            <w:r>
              <w:rPr>
                <w:rFonts w:ascii="Arial" w:cs="Arial" w:eastAsia="Arial" w:hAnsi="Arial"/>
                <w:sz w:val="14"/>
                <w:szCs w:val="14"/>
                <w:color w:val="auto"/>
              </w:rPr>
              <w:t>Twelve Months Ended February 1, 2019</w:t>
            </w:r>
          </w:p>
        </w:tc>
        <w:tc>
          <w:tcPr>
            <w:tcW w:w="46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jc w:val="center"/>
              <w:ind w:left="161"/>
              <w:spacing w:after="0"/>
              <w:rPr>
                <w:sz w:val="20"/>
                <w:szCs w:val="20"/>
                <w:color w:val="auto"/>
              </w:rPr>
            </w:pPr>
            <w:r>
              <w:rPr>
                <w:rFonts w:ascii="Arial" w:cs="Arial" w:eastAsia="Arial" w:hAnsi="Arial"/>
                <w:sz w:val="14"/>
                <w:szCs w:val="14"/>
                <w:color w:val="auto"/>
              </w:rPr>
              <w:t>Balances without</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2B4C9B"/>
              </w:rPr>
              <w:t>As reported</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color w:val="auto"/>
              </w:rPr>
              <w:t>adoption of ASC</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594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60" w:type="dxa"/>
            <w:vAlign w:val="bottom"/>
            <w:tcBorders>
              <w:bottom w:val="single" w:sz="8" w:color="2B4C9B"/>
            </w:tcBorders>
          </w:tcPr>
          <w:p>
            <w:pPr>
              <w:spacing w:after="0"/>
              <w:rPr>
                <w:sz w:val="15"/>
                <w:szCs w:val="15"/>
                <w:color w:val="auto"/>
              </w:rPr>
            </w:pPr>
          </w:p>
        </w:tc>
        <w:tc>
          <w:tcPr>
            <w:tcW w:w="880" w:type="dxa"/>
            <w:vAlign w:val="bottom"/>
            <w:tcBorders>
              <w:bottom w:val="single" w:sz="8" w:color="2B4C9B"/>
            </w:tcBorders>
            <w:vMerge w:val="continue"/>
          </w:tcPr>
          <w:p>
            <w:pPr>
              <w:spacing w:after="0"/>
              <w:rPr>
                <w:sz w:val="15"/>
                <w:szCs w:val="15"/>
                <w:color w:val="auto"/>
              </w:rPr>
            </w:pPr>
          </w:p>
        </w:tc>
        <w:tc>
          <w:tcPr>
            <w:tcW w:w="400" w:type="dxa"/>
            <w:vAlign w:val="bottom"/>
            <w:tcBorders>
              <w:bottom w:val="single" w:sz="8" w:color="2B4C9B"/>
            </w:tcBorders>
          </w:tcPr>
          <w:p>
            <w:pPr>
              <w:spacing w:after="0"/>
              <w:rPr>
                <w:sz w:val="15"/>
                <w:szCs w:val="15"/>
                <w:color w:val="auto"/>
              </w:rPr>
            </w:pPr>
          </w:p>
        </w:tc>
        <w:tc>
          <w:tcPr>
            <w:tcW w:w="960" w:type="dxa"/>
            <w:vAlign w:val="bottom"/>
            <w:tcBorders>
              <w:bottom w:val="single" w:sz="8" w:color="2B4C9B"/>
            </w:tcBorders>
          </w:tcPr>
          <w:p>
            <w:pPr>
              <w:jc w:val="center"/>
              <w:ind w:right="74"/>
              <w:spacing w:after="0"/>
              <w:rPr>
                <w:sz w:val="20"/>
                <w:szCs w:val="20"/>
                <w:color w:val="auto"/>
              </w:rPr>
            </w:pPr>
            <w:r>
              <w:rPr>
                <w:rFonts w:ascii="Arial" w:cs="Arial" w:eastAsia="Arial" w:hAnsi="Arial"/>
                <w:sz w:val="14"/>
                <w:szCs w:val="14"/>
                <w:color w:val="auto"/>
              </w:rPr>
              <w:t>606</w:t>
            </w: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Effect of change</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2B4C9B"/>
              </w:rPr>
              <w:t>Income Statement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2B4C9B"/>
            </w:tcBorders>
          </w:tcPr>
          <w:p>
            <w:pPr>
              <w:spacing w:after="0"/>
              <w:rPr>
                <w:sz w:val="2"/>
                <w:szCs w:val="2"/>
                <w:color w:val="auto"/>
              </w:rPr>
            </w:pPr>
          </w:p>
        </w:tc>
        <w:tc>
          <w:tcPr>
            <w:tcW w:w="320" w:type="dxa"/>
            <w:vAlign w:val="bottom"/>
            <w:tcBorders>
              <w:top w:val="single" w:sz="8" w:color="2B4C9B"/>
            </w:tcBorders>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7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2A4C9B"/>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4,659</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4,672</w:t>
            </w:r>
          </w:p>
        </w:tc>
        <w:tc>
          <w:tcPr>
            <w:tcW w:w="80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2B4C9B"/>
              </w:rPr>
              <w:t>4,195</w:t>
            </w:r>
          </w:p>
        </w:tc>
        <w:tc>
          <w:tcPr>
            <w:tcW w:w="4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4,209</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40" w:type="dxa"/>
            <w:vAlign w:val="bottom"/>
            <w:shd w:val="clear" w:color="auto" w:fill="CFF0FC"/>
          </w:tcPr>
          <w:p>
            <w:pPr>
              <w:spacing w:after="0"/>
              <w:rPr>
                <w:sz w:val="24"/>
                <w:szCs w:val="24"/>
                <w:color w:val="auto"/>
              </w:rPr>
            </w:pPr>
          </w:p>
        </w:tc>
        <w:tc>
          <w:tcPr>
            <w:tcW w:w="7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2B4C9B"/>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220</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219</w:t>
            </w:r>
          </w:p>
        </w:tc>
        <w:tc>
          <w:tcPr>
            <w:tcW w:w="80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0" w:type="dxa"/>
            <w:vAlign w:val="bottom"/>
            <w:tcBorders>
              <w:bottom w:val="single" w:sz="8" w:color="2B4C9B"/>
            </w:tcBorders>
          </w:tcPr>
          <w:p>
            <w:pPr>
              <w:spacing w:after="0"/>
              <w:rPr>
                <w:sz w:val="24"/>
                <w:szCs w:val="24"/>
                <w:color w:val="auto"/>
              </w:rPr>
            </w:pPr>
          </w:p>
        </w:tc>
        <w:tc>
          <w:tcPr>
            <w:tcW w:w="160" w:type="dxa"/>
            <w:vAlign w:val="bottom"/>
            <w:tcBorders>
              <w:bottom w:val="single" w:sz="8" w:color="2B4C9B"/>
            </w:tcBorders>
          </w:tcPr>
          <w:p>
            <w:pPr>
              <w:spacing w:after="0"/>
              <w:rPr>
                <w:sz w:val="24"/>
                <w:szCs w:val="24"/>
                <w:color w:val="auto"/>
              </w:rPr>
            </w:pPr>
          </w:p>
        </w:tc>
        <w:tc>
          <w:tcPr>
            <w:tcW w:w="880" w:type="dxa"/>
            <w:vAlign w:val="bottom"/>
            <w:tcBorders>
              <w:bottom w:val="single" w:sz="8" w:color="2B4C9B"/>
            </w:tcBorders>
          </w:tcPr>
          <w:p>
            <w:pPr>
              <w:spacing w:after="0"/>
              <w:rPr>
                <w:sz w:val="24"/>
                <w:szCs w:val="24"/>
                <w:color w:val="auto"/>
              </w:rPr>
            </w:pPr>
          </w:p>
        </w:tc>
        <w:tc>
          <w:tcPr>
            <w:tcW w:w="1360" w:type="dxa"/>
            <w:vAlign w:val="bottom"/>
            <w:tcBorders>
              <w:bottom w:val="single" w:sz="8" w:color="2B4C9B"/>
            </w:tcBorders>
            <w:gridSpan w:val="2"/>
          </w:tcPr>
          <w:p>
            <w:pPr>
              <w:jc w:val="right"/>
              <w:ind w:right="34"/>
              <w:spacing w:after="0"/>
              <w:rPr>
                <w:sz w:val="20"/>
                <w:szCs w:val="20"/>
                <w:color w:val="auto"/>
              </w:rPr>
            </w:pPr>
            <w:r>
              <w:rPr>
                <w:rFonts w:ascii="Arial" w:cs="Arial" w:eastAsia="Arial" w:hAnsi="Arial"/>
                <w:sz w:val="14"/>
                <w:szCs w:val="14"/>
                <w:color w:val="auto"/>
              </w:rPr>
              <w:t>February 1, 2019</w:t>
            </w:r>
          </w:p>
        </w:tc>
        <w:tc>
          <w:tcPr>
            <w:tcW w:w="800" w:type="dxa"/>
            <w:vAlign w:val="bottom"/>
            <w:tcBorders>
              <w:bottom w:val="single" w:sz="8" w:color="2B4C9B"/>
            </w:tcBorders>
          </w:tcPr>
          <w:p>
            <w:pPr>
              <w:spacing w:after="0"/>
              <w:rPr>
                <w:sz w:val="24"/>
                <w:szCs w:val="24"/>
                <w:color w:val="auto"/>
              </w:rPr>
            </w:pPr>
          </w:p>
        </w:tc>
        <w:tc>
          <w:tcPr>
            <w:tcW w:w="460" w:type="dxa"/>
            <w:vAlign w:val="bottom"/>
            <w:tcBorders>
              <w:bottom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jc w:val="center"/>
              <w:ind w:right="34"/>
              <w:spacing w:after="0"/>
              <w:rPr>
                <w:sz w:val="20"/>
                <w:szCs w:val="20"/>
                <w:color w:val="auto"/>
              </w:rPr>
            </w:pPr>
            <w:r>
              <w:rPr>
                <w:rFonts w:ascii="Arial" w:cs="Arial" w:eastAsia="Arial" w:hAnsi="Arial"/>
                <w:sz w:val="14"/>
                <w:szCs w:val="14"/>
                <w:color w:val="auto"/>
              </w:rPr>
              <w:t>Balances without</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8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2B4C9B"/>
              </w:rPr>
              <w:t>As reported</w:t>
            </w:r>
          </w:p>
        </w:tc>
        <w:tc>
          <w:tcPr>
            <w:tcW w:w="1360" w:type="dxa"/>
            <w:vAlign w:val="bottom"/>
            <w:gridSpan w:val="2"/>
          </w:tcPr>
          <w:p>
            <w:pPr>
              <w:jc w:val="center"/>
              <w:ind w:right="34"/>
              <w:spacing w:after="0"/>
              <w:rPr>
                <w:sz w:val="20"/>
                <w:szCs w:val="20"/>
                <w:color w:val="auto"/>
              </w:rPr>
            </w:pPr>
            <w:r>
              <w:rPr>
                <w:rFonts w:ascii="Arial" w:cs="Arial" w:eastAsia="Arial" w:hAnsi="Arial"/>
                <w:sz w:val="14"/>
                <w:szCs w:val="14"/>
                <w:color w:val="auto"/>
              </w:rPr>
              <w:t>adoption of ASC</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594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gridSpan w:val="3"/>
            <w:vMerge w:val="continue"/>
          </w:tcPr>
          <w:p>
            <w:pPr>
              <w:spacing w:after="0"/>
              <w:rPr>
                <w:sz w:val="15"/>
                <w:szCs w:val="15"/>
                <w:color w:val="auto"/>
              </w:rPr>
            </w:pPr>
          </w:p>
        </w:tc>
        <w:tc>
          <w:tcPr>
            <w:tcW w:w="400" w:type="dxa"/>
            <w:vAlign w:val="bottom"/>
            <w:tcBorders>
              <w:bottom w:val="single" w:sz="8" w:color="2B4C9B"/>
            </w:tcBorders>
          </w:tcPr>
          <w:p>
            <w:pPr>
              <w:spacing w:after="0"/>
              <w:rPr>
                <w:sz w:val="15"/>
                <w:szCs w:val="15"/>
                <w:color w:val="auto"/>
              </w:rPr>
            </w:pPr>
          </w:p>
        </w:tc>
        <w:tc>
          <w:tcPr>
            <w:tcW w:w="960" w:type="dxa"/>
            <w:vAlign w:val="bottom"/>
            <w:tcBorders>
              <w:bottom w:val="single" w:sz="8" w:color="2B4C9B"/>
            </w:tcBorders>
          </w:tcPr>
          <w:p>
            <w:pPr>
              <w:jc w:val="center"/>
              <w:ind w:right="434"/>
              <w:spacing w:after="0"/>
              <w:rPr>
                <w:sz w:val="20"/>
                <w:szCs w:val="20"/>
                <w:color w:val="auto"/>
              </w:rPr>
            </w:pPr>
            <w:r>
              <w:rPr>
                <w:rFonts w:ascii="Arial" w:cs="Arial" w:eastAsia="Arial" w:hAnsi="Arial"/>
                <w:sz w:val="14"/>
                <w:szCs w:val="14"/>
                <w:color w:val="auto"/>
              </w:rPr>
              <w:t>606</w:t>
            </w:r>
          </w:p>
        </w:tc>
        <w:tc>
          <w:tcPr>
            <w:tcW w:w="1260" w:type="dxa"/>
            <w:vAlign w:val="bottom"/>
            <w:tcBorders>
              <w:bottom w:val="single" w:sz="8" w:color="2B4C9B"/>
            </w:tcBorders>
            <w:gridSpan w:val="2"/>
          </w:tcPr>
          <w:p>
            <w:pPr>
              <w:jc w:val="right"/>
              <w:ind w:right="10"/>
              <w:spacing w:after="0"/>
              <w:rPr>
                <w:sz w:val="20"/>
                <w:szCs w:val="20"/>
                <w:color w:val="auto"/>
              </w:rPr>
            </w:pPr>
            <w:r>
              <w:rPr>
                <w:rFonts w:ascii="Arial" w:cs="Arial" w:eastAsia="Arial" w:hAnsi="Arial"/>
                <w:sz w:val="14"/>
                <w:szCs w:val="14"/>
                <w:color w:val="auto"/>
              </w:rPr>
              <w:t>Effect of change</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gridSpan w:val="2"/>
          </w:tcPr>
          <w:p>
            <w:pPr>
              <w:jc w:val="right"/>
              <w:ind w:right="2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2B4C9B"/>
              </w:rPr>
              <w:t>Balance Sheet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20" w:type="dxa"/>
            <w:vAlign w:val="bottom"/>
            <w:tcBorders>
              <w:top w:val="single" w:sz="8" w:color="2B4C9B"/>
            </w:tcBorders>
          </w:tcPr>
          <w:p>
            <w:pPr>
              <w:spacing w:after="0"/>
              <w:rPr>
                <w:sz w:val="20"/>
                <w:szCs w:val="20"/>
                <w:color w:val="auto"/>
              </w:rPr>
            </w:pPr>
            <w:r>
              <w:rPr>
                <w:rFonts w:ascii="Arial" w:cs="Arial" w:eastAsia="Arial" w:hAnsi="Arial"/>
                <w:sz w:val="18"/>
                <w:szCs w:val="18"/>
                <w:b w:val="1"/>
                <w:bCs w:val="1"/>
                <w:color w:val="2B4C9B"/>
              </w:rPr>
              <w:t>Assets</w:t>
            </w:r>
          </w:p>
        </w:tc>
        <w:tc>
          <w:tcPr>
            <w:tcW w:w="62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FF0FC"/>
          </w:tcPr>
          <w:p>
            <w:pPr>
              <w:spacing w:after="0"/>
              <w:rPr>
                <w:sz w:val="24"/>
                <w:szCs w:val="24"/>
                <w:color w:val="auto"/>
              </w:rPr>
            </w:pPr>
          </w:p>
        </w:tc>
        <w:tc>
          <w:tcPr>
            <w:tcW w:w="7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w w:val="99"/>
              </w:rPr>
              <w:t>$</w:t>
            </w: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1,050</w:t>
            </w:r>
          </w:p>
        </w:tc>
        <w:tc>
          <w:tcPr>
            <w:tcW w:w="40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1,048</w:t>
            </w:r>
          </w:p>
        </w:tc>
        <w:tc>
          <w:tcPr>
            <w:tcW w:w="80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480" w:type="dxa"/>
            <w:vAlign w:val="bottom"/>
            <w:gridSpan w:val="3"/>
          </w:tcPr>
          <w:p>
            <w:pPr>
              <w:ind w:left="2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2B4C9B"/>
              </w:rPr>
              <w:t>74</w:t>
            </w:r>
          </w:p>
        </w:tc>
        <w:tc>
          <w:tcPr>
            <w:tcW w:w="400" w:type="dxa"/>
            <w:vAlign w:val="bottom"/>
          </w:tcPr>
          <w:p>
            <w:pPr>
              <w:spacing w:after="0"/>
              <w:rPr>
                <w:sz w:val="22"/>
                <w:szCs w:val="22"/>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40" w:type="dxa"/>
            <w:vAlign w:val="bottom"/>
            <w:shd w:val="clear" w:color="auto" w:fill="CFF0FC"/>
          </w:tcPr>
          <w:p>
            <w:pPr>
              <w:spacing w:after="0"/>
              <w:rPr>
                <w:sz w:val="24"/>
                <w:szCs w:val="24"/>
                <w:color w:val="auto"/>
              </w:rPr>
            </w:pPr>
          </w:p>
        </w:tc>
        <w:tc>
          <w:tcPr>
            <w:tcW w:w="7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104</w:t>
            </w:r>
          </w:p>
        </w:tc>
        <w:tc>
          <w:tcPr>
            <w:tcW w:w="40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93</w:t>
            </w:r>
          </w:p>
        </w:tc>
        <w:tc>
          <w:tcPr>
            <w:tcW w:w="8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2B4C9B"/>
              </w:rPr>
              <w:t>Liabilities and Equity</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480" w:type="dxa"/>
            <w:vAlign w:val="bottom"/>
            <w:gridSpan w:val="3"/>
          </w:tcPr>
          <w:p>
            <w:pPr>
              <w:ind w:left="24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2B4C9B"/>
              </w:rPr>
              <w:t>177</w:t>
            </w:r>
          </w:p>
        </w:tc>
        <w:tc>
          <w:tcPr>
            <w:tcW w:w="40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174</w:t>
            </w:r>
          </w:p>
        </w:tc>
        <w:tc>
          <w:tcPr>
            <w:tcW w:w="8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0" w:type="dxa"/>
            <w:vAlign w:val="bottom"/>
            <w:shd w:val="clear" w:color="auto" w:fill="CFF0FC"/>
          </w:tcPr>
          <w:p>
            <w:pPr>
              <w:spacing w:after="0"/>
              <w:rPr>
                <w:sz w:val="24"/>
                <w:szCs w:val="24"/>
                <w:color w:val="auto"/>
              </w:rPr>
            </w:pPr>
          </w:p>
        </w:tc>
        <w:tc>
          <w:tcPr>
            <w:tcW w:w="7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102</w:t>
            </w:r>
          </w:p>
        </w:tc>
        <w:tc>
          <w:tcPr>
            <w:tcW w:w="40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480" w:type="dxa"/>
            <w:vAlign w:val="bottom"/>
            <w:gridSpan w:val="3"/>
          </w:tcPr>
          <w:p>
            <w:pPr>
              <w:ind w:left="2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jc w:val="right"/>
              <w:ind w:right="34"/>
              <w:spacing w:after="0"/>
              <w:rPr>
                <w:sz w:val="20"/>
                <w:szCs w:val="20"/>
                <w:color w:val="auto"/>
              </w:rPr>
            </w:pPr>
            <w:r>
              <w:rPr>
                <w:rFonts w:ascii="Arial" w:cs="Arial" w:eastAsia="Arial" w:hAnsi="Arial"/>
                <w:sz w:val="18"/>
                <w:szCs w:val="18"/>
                <w:b w:val="1"/>
                <w:bCs w:val="1"/>
                <w:color w:val="2B4C9B"/>
                <w:w w:val="99"/>
              </w:rPr>
              <w:t>$</w:t>
            </w:r>
          </w:p>
        </w:tc>
        <w:tc>
          <w:tcPr>
            <w:tcW w:w="160" w:type="dxa"/>
            <w:vAlign w:val="bottom"/>
          </w:tcPr>
          <w:p>
            <w:pPr>
              <w:spacing w:after="0"/>
              <w:rPr>
                <w:sz w:val="22"/>
                <w:szCs w:val="22"/>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2B4C9B"/>
              </w:rPr>
              <w:t>367</w:t>
            </w:r>
          </w:p>
        </w:tc>
        <w:tc>
          <w:tcPr>
            <w:tcW w:w="400" w:type="dxa"/>
            <w:vAlign w:val="bottom"/>
          </w:tcPr>
          <w:p>
            <w:pPr>
              <w:jc w:val="right"/>
              <w:ind w:right="22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363</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These impacts were primarily attributable to the change in accounting for programs previously accounted for using the efforts-expended method of percentage of completion.</w:t>
      </w:r>
    </w:p>
    <w:p>
      <w:pPr>
        <w:spacing w:after="0" w:line="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Hedge</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which simplifies the application of hedge accounting and eliminates the requirement to separately measure and report hedge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ineffectiveness. The Company early adopted the provisions of the standard in the first quarter of fiscal 2019. Adoption did not have a material impact on the Company's financial statements.</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supersedes the existing lease accounting standards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840</w:t>
      </w:r>
      <w:r>
        <w:rPr>
          <w:rFonts w:ascii="Arial" w:cs="Arial" w:eastAsia="Arial" w:hAnsi="Arial"/>
          <w:sz w:val="18"/>
          <w:szCs w:val="18"/>
          <w:color w:val="auto"/>
        </w:rPr>
        <w:t>). Under the new guidance, a lessee will be required to recognize lease assets and lease liabilities for all leases with lease terms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twelve months. The recognition, measurement and presentation of expenses and cash flows arising from a lease by a lessee primarily will depend on its classification as either a finance lease or operating lease. The criteria for distinction between a finance lease and an operating lease are substantially similar to existing lease guidance for capital leases and operating leases. Some changes to lessor accounting have been made to conform and align that guidance with the lessee guidance and other areas within GAAP, such as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In July 2018, the FASB provided an optional transition method of adoption, permitting entities to recognize a</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cumulative-effect adjustment to the opening balance of retained earnings in the period of adoption as opposed to the beginning of the earliest period presented in the financial statements. ASU 2016-2 becomes effective for the Company in the first quarter of fiscal 2020. The Company will adopt using the optional transition method. The Company is implementing new lease accounting software and is designing new processes and internal controls. The Company continues to evaluate the standard, but has not quantified the impact of adoption on its financial statements.</w:t>
      </w:r>
    </w:p>
    <w:p>
      <w:pPr>
        <w:spacing w:after="0" w:line="19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provides amendments to simplify several aspects of the accounting for share-based payment transactions. Among other requirements in the new standard, the ASU requires that an entity- (i) recognize excess tax benefits and deficiencies related to employee share-based payment transactions in the provision for income taxes, instead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F-16</w:t>
      </w:r>
    </w:p>
    <w:p>
      <w:pPr>
        <w:sectPr>
          <w:pgSz w:w="11900" w:h="16838" w:orient="portrait"/>
          <w:cols w:equalWidth="0" w:num="1">
            <w:col w:w="11420"/>
          </w:cols>
          <w:pgMar w:left="240" w:top="141" w:right="239" w:bottom="478" w:gutter="0" w:footer="0" w:header="0"/>
        </w:sectPr>
      </w:pPr>
    </w:p>
    <w:bookmarkStart w:id="62" w:name="page63"/>
    <w:bookmarkEnd w:id="6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of in equity; (ii) classify excess tax benefits as an operating activity on the statement of cash flows, instead of the previous classification as a financing activity; (iii) classify all cash payments made to taxing authorities on the employees’ behalf for withheld shares as financing activities on the statement of cash flows; and (iv) make a policy election either to estimate expected forfeitures or to account for them as they occur. The Company adopted the ASU prospectively in the first quarter of fiscal 2018. As a result, for the year ended February 2, 2018, the Company recognized a $22 million tax benefit, which is included in the provision for income taxes on the consolidated statements of income and comprehensive income and as an operating activity in the consolidated statement of cash flows. The amendments were applied prospectively and therefore, prior periods have not been adjusted and there was no impact to beginning retained earnings. The Company will continue to classify cash paid for tax withholding purposes as a financing activity in the statement of cash flows and to estimate forfeitures rather than account for them as they occur.</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restricted cash be included with cash and cash equivalents when reconciling the beginning-of-period and end-of-period total amounts shown on the statement of cash flows. The Company early adopted this new standard during the first quarter of fiscal 2018, which resulted in a $6 million increase to net cash used in investing activities for the year ended February 3, 2017. A reconciliation of cash, cash equivalents and restricted cash for each period presented is provided above under the heading “Cash, Cash Equivalents and Restricted Cash.”</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w:t>
      </w:r>
      <w:r>
        <w:rPr>
          <w:rFonts w:ascii="Arial" w:cs="Arial" w:eastAsia="Arial" w:hAnsi="Arial"/>
          <w:sz w:val="18"/>
          <w:szCs w:val="18"/>
          <w:color w:val="auto"/>
        </w:rPr>
        <w:t>which allows a reclassification from accumulated other comprehensive income (AOCI) to retained earnings for the deferred taxes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recorded in AOCI that exceed the current federal tax rate of 21% resulting from the newly enacted corporate tax rate resulting from the Tax Act. The Company early adopted the provisions of the standard in the fourth quarter of fiscal 2018 and reclassified deferred taxes recorded in AOCI in excess of the newly enacted corporate tax rate to retained earnings, which affects only the period that the effects related to the Tax Act are recognized. The effect of adopting the ASU resulted in a decrease to retained earnings and corresponding increase to AOCI of $1 million, at February 2, 2018.</w:t>
      </w:r>
    </w:p>
    <w:p>
      <w:pPr>
        <w:spacing w:after="0" w:line="14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715- 20):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which modifies the disclosure requirements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benefit pension plans and other postretirement plans. ASU 2018-14 becomes effective for the Company in the first quarter of fiscal 2022 and is required to be adopted retrospectively. Early adoption is permitted. The Company early adopted the provisions of the standard in the fourth quarter of fiscal 2019 which did not result in a material impact to its financial statements.</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which aligns the capitalization requirements for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 that is a service contract with the existing capitalization requirements for implementation costs incurred to develop or obtain internal-use software </w:t>
      </w:r>
      <w:r>
        <w:rPr>
          <w:rFonts w:ascii="Arial" w:cs="Arial" w:eastAsia="Arial" w:hAnsi="Arial"/>
          <w:sz w:val="18"/>
          <w:szCs w:val="18"/>
          <w:i w:val="1"/>
          <w:iCs w:val="1"/>
          <w:color w:val="auto"/>
        </w:rPr>
        <w:t>(Subtopic 350-40)</w:t>
      </w:r>
      <w:r>
        <w:rPr>
          <w:rFonts w:ascii="Arial" w:cs="Arial" w:eastAsia="Arial" w:hAnsi="Arial"/>
          <w:sz w:val="18"/>
          <w:szCs w:val="18"/>
          <w:color w:val="auto"/>
        </w:rPr>
        <w:t>. ASU 2018-15 becomes effective for the Company in the first quarter of fiscal 2021 and may be adopted either retrospectively or prospectively. Early adoption is permitted. The Company is currently evaluating the impact of adoption of this standard on its financial statements.</w:t>
      </w:r>
    </w:p>
    <w:p>
      <w:pPr>
        <w:spacing w:after="0" w:line="2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Other Accounting Standards Updates effective after February 1, 2019 are not expected to have a material effect on the Company’s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2—Earnings Per Share, Share Repurchases and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Earnings per Share (EPS)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EPS is computed by dividing net income by the basic weighted average number of shares outstanding. Diluted EPS is computed similarly to basic EPS, except the weighted average number of shares outstanding is increased to include the dilutive effect of outstanding stock options and other stock-based awards.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F-17</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 average number of shares outstanding used to compute basic and diluted EPS was: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660" w:type="dxa"/>
            <w:vAlign w:val="bottom"/>
            <w:tcBorders>
              <w:bottom w:val="single" w:sz="8" w:color="2B4C9B"/>
            </w:tcBorders>
          </w:tcPr>
          <w:p>
            <w:pPr>
              <w:spacing w:after="0"/>
              <w:rPr>
                <w:sz w:val="15"/>
                <w:szCs w:val="15"/>
                <w:color w:val="auto"/>
              </w:rPr>
            </w:pPr>
          </w:p>
        </w:tc>
        <w:tc>
          <w:tcPr>
            <w:tcW w:w="1700" w:type="dxa"/>
            <w:vAlign w:val="bottom"/>
            <w:tcBorders>
              <w:bottom w:val="single" w:sz="8" w:color="2B4C9B"/>
            </w:tcBorders>
          </w:tcPr>
          <w:p>
            <w:pPr>
              <w:jc w:val="right"/>
              <w:ind w:right="560"/>
              <w:spacing w:after="0"/>
              <w:rPr>
                <w:sz w:val="20"/>
                <w:szCs w:val="20"/>
                <w:color w:val="auto"/>
              </w:rPr>
            </w:pPr>
            <w:r>
              <w:rPr>
                <w:rFonts w:ascii="Arial" w:cs="Arial" w:eastAsia="Arial" w:hAnsi="Arial"/>
                <w:sz w:val="14"/>
                <w:szCs w:val="14"/>
                <w:color w:val="auto"/>
              </w:rPr>
              <w:t>Year Ended</w:t>
            </w:r>
          </w:p>
        </w:tc>
        <w:tc>
          <w:tcPr>
            <w:tcW w:w="130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1660" w:type="dxa"/>
            <w:vAlign w:val="bottom"/>
          </w:tcPr>
          <w:p>
            <w:pPr>
              <w:jc w:val="right"/>
              <w:ind w:right="237"/>
              <w:spacing w:after="0"/>
              <w:rPr>
                <w:sz w:val="20"/>
                <w:szCs w:val="20"/>
                <w:color w:val="auto"/>
              </w:rPr>
            </w:pPr>
            <w:r>
              <w:rPr>
                <w:rFonts w:ascii="Arial" w:cs="Arial" w:eastAsia="Arial" w:hAnsi="Arial"/>
                <w:sz w:val="14"/>
                <w:szCs w:val="14"/>
                <w:b w:val="1"/>
                <w:bCs w:val="1"/>
                <w:color w:val="2B4C9B"/>
              </w:rPr>
              <w:t>February 1,</w:t>
            </w:r>
          </w:p>
        </w:tc>
        <w:tc>
          <w:tcPr>
            <w:tcW w:w="1700" w:type="dxa"/>
            <w:vAlign w:val="bottom"/>
          </w:tcPr>
          <w:p>
            <w:pPr>
              <w:jc w:val="right"/>
              <w:ind w:right="360"/>
              <w:spacing w:after="0"/>
              <w:rPr>
                <w:sz w:val="20"/>
                <w:szCs w:val="20"/>
                <w:color w:val="auto"/>
              </w:rPr>
            </w:pPr>
            <w:r>
              <w:rPr>
                <w:rFonts w:ascii="Arial" w:cs="Arial" w:eastAsia="Arial" w:hAnsi="Arial"/>
                <w:sz w:val="14"/>
                <w:szCs w:val="14"/>
                <w:color w:val="auto"/>
              </w:rPr>
              <w:t>February 2,</w:t>
            </w:r>
          </w:p>
        </w:tc>
        <w:tc>
          <w:tcPr>
            <w:tcW w:w="1300" w:type="dxa"/>
            <w:vAlign w:val="bottom"/>
          </w:tcPr>
          <w:p>
            <w:pPr>
              <w:jc w:val="right"/>
              <w:ind w:right="77"/>
              <w:spacing w:after="0"/>
              <w:rPr>
                <w:sz w:val="20"/>
                <w:szCs w:val="20"/>
                <w:color w:val="auto"/>
              </w:rPr>
            </w:pPr>
            <w:r>
              <w:rPr>
                <w:rFonts w:ascii="Arial" w:cs="Arial" w:eastAsia="Arial" w:hAnsi="Arial"/>
                <w:sz w:val="14"/>
                <w:szCs w:val="14"/>
                <w:color w:val="auto"/>
              </w:rPr>
              <w:t>February 3,</w:t>
            </w:r>
          </w:p>
        </w:tc>
      </w:tr>
      <w:tr>
        <w:trPr>
          <w:trHeight w:val="196"/>
        </w:trPr>
        <w:tc>
          <w:tcPr>
            <w:tcW w:w="6740" w:type="dxa"/>
            <w:vAlign w:val="bottom"/>
            <w:tcBorders>
              <w:bottom w:val="single" w:sz="8" w:color="2B4C9B"/>
            </w:tcBorders>
          </w:tcPr>
          <w:p>
            <w:pPr>
              <w:spacing w:after="0"/>
              <w:rPr>
                <w:sz w:val="17"/>
                <w:szCs w:val="17"/>
                <w:color w:val="auto"/>
              </w:rPr>
            </w:pPr>
          </w:p>
        </w:tc>
        <w:tc>
          <w:tcPr>
            <w:tcW w:w="1660" w:type="dxa"/>
            <w:vAlign w:val="bottom"/>
            <w:tcBorders>
              <w:bottom w:val="single" w:sz="8" w:color="2B4C9B"/>
            </w:tcBorders>
          </w:tcPr>
          <w:p>
            <w:pPr>
              <w:jc w:val="right"/>
              <w:ind w:right="197"/>
              <w:spacing w:after="0"/>
              <w:rPr>
                <w:sz w:val="20"/>
                <w:szCs w:val="20"/>
                <w:color w:val="auto"/>
              </w:rPr>
            </w:pPr>
            <w:r>
              <w:rPr>
                <w:rFonts w:ascii="Arial" w:cs="Arial" w:eastAsia="Arial" w:hAnsi="Arial"/>
                <w:sz w:val="14"/>
                <w:szCs w:val="14"/>
                <w:b w:val="1"/>
                <w:bCs w:val="1"/>
                <w:color w:val="2B4C9B"/>
              </w:rPr>
              <w:t>2019</w:t>
            </w:r>
          </w:p>
        </w:tc>
        <w:tc>
          <w:tcPr>
            <w:tcW w:w="170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2018</w:t>
            </w:r>
          </w:p>
        </w:tc>
        <w:tc>
          <w:tcPr>
            <w:tcW w:w="130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2017</w:t>
            </w:r>
          </w:p>
        </w:tc>
      </w:tr>
      <w:tr>
        <w:trPr>
          <w:trHeight w:val="264"/>
        </w:trPr>
        <w:tc>
          <w:tcPr>
            <w:tcW w:w="6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00" w:type="dxa"/>
            <w:vAlign w:val="bottom"/>
          </w:tcPr>
          <w:p>
            <w:pPr>
              <w:jc w:val="right"/>
              <w:ind w:right="58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2"/>
                <w:szCs w:val="22"/>
                <w:color w:val="auto"/>
              </w:rPr>
            </w:pPr>
          </w:p>
        </w:tc>
      </w:tr>
      <w:tr>
        <w:trPr>
          <w:trHeight w:val="276"/>
        </w:trPr>
        <w:tc>
          <w:tcPr>
            <w:tcW w:w="6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Basic weighted-average number of shares outstanding</w:t>
            </w:r>
          </w:p>
        </w:tc>
        <w:tc>
          <w:tcPr>
            <w:tcW w:w="1660" w:type="dxa"/>
            <w:vAlign w:val="bottom"/>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43.4</w:t>
            </w:r>
          </w:p>
        </w:tc>
        <w:tc>
          <w:tcPr>
            <w:tcW w:w="1700" w:type="dxa"/>
            <w:vAlign w:val="bottom"/>
            <w:shd w:val="clear" w:color="auto" w:fill="CFF0FC"/>
          </w:tcPr>
          <w:p>
            <w:pPr>
              <w:jc w:val="right"/>
              <w:ind w:right="320"/>
              <w:spacing w:after="0"/>
              <w:rPr>
                <w:sz w:val="20"/>
                <w:szCs w:val="20"/>
                <w:color w:val="auto"/>
              </w:rPr>
            </w:pPr>
            <w:r>
              <w:rPr>
                <w:rFonts w:ascii="Arial" w:cs="Arial" w:eastAsia="Arial" w:hAnsi="Arial"/>
                <w:sz w:val="18"/>
                <w:szCs w:val="18"/>
                <w:color w:val="auto"/>
              </w:rPr>
              <w:t>43.3</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44.5</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Dilutive common share equivalents - stock options and other stock-based awards</w:t>
            </w:r>
          </w:p>
        </w:tc>
        <w:tc>
          <w:tcPr>
            <w:tcW w:w="1660" w:type="dxa"/>
            <w:vAlign w:val="bottom"/>
            <w:tcBorders>
              <w:bottom w:val="single" w:sz="8" w:color="2B4C9B"/>
            </w:tcBorders>
          </w:tcPr>
          <w:p>
            <w:pPr>
              <w:jc w:val="right"/>
              <w:ind w:right="197"/>
              <w:spacing w:after="0"/>
              <w:rPr>
                <w:sz w:val="20"/>
                <w:szCs w:val="20"/>
                <w:color w:val="auto"/>
              </w:rPr>
            </w:pPr>
            <w:r>
              <w:rPr>
                <w:rFonts w:ascii="Arial" w:cs="Arial" w:eastAsia="Arial" w:hAnsi="Arial"/>
                <w:sz w:val="18"/>
                <w:szCs w:val="18"/>
                <w:b w:val="1"/>
                <w:bCs w:val="1"/>
                <w:color w:val="2B4C9B"/>
              </w:rPr>
              <w:t>0.7</w:t>
            </w:r>
          </w:p>
        </w:tc>
        <w:tc>
          <w:tcPr>
            <w:tcW w:w="1700" w:type="dxa"/>
            <w:vAlign w:val="bottom"/>
            <w:tcBorders>
              <w:bottom w:val="single" w:sz="8" w:color="2B4C9B"/>
            </w:tcBorders>
          </w:tcPr>
          <w:p>
            <w:pPr>
              <w:jc w:val="right"/>
              <w:ind w:right="320"/>
              <w:spacing w:after="0"/>
              <w:rPr>
                <w:sz w:val="20"/>
                <w:szCs w:val="20"/>
                <w:color w:val="auto"/>
              </w:rPr>
            </w:pPr>
            <w:r>
              <w:rPr>
                <w:rFonts w:ascii="Arial" w:cs="Arial" w:eastAsia="Arial" w:hAnsi="Arial"/>
                <w:sz w:val="18"/>
                <w:szCs w:val="18"/>
                <w:color w:val="auto"/>
              </w:rPr>
              <w:t>1.2</w:t>
            </w:r>
          </w:p>
        </w:tc>
        <w:tc>
          <w:tcPr>
            <w:tcW w:w="130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1.4</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weighted-average number of shares outstanding</w:t>
            </w:r>
          </w:p>
        </w:tc>
        <w:tc>
          <w:tcPr>
            <w:tcW w:w="1660" w:type="dxa"/>
            <w:vAlign w:val="bottom"/>
            <w:tcBorders>
              <w:bottom w:val="single" w:sz="8" w:color="2B4C9B"/>
            </w:tcBorders>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44.1</w:t>
            </w:r>
          </w:p>
        </w:tc>
        <w:tc>
          <w:tcPr>
            <w:tcW w:w="1700" w:type="dxa"/>
            <w:vAlign w:val="bottom"/>
            <w:tcBorders>
              <w:bottom w:val="single" w:sz="8" w:color="2B4C9B"/>
            </w:tcBorders>
            <w:shd w:val="clear" w:color="auto" w:fill="CFF0FC"/>
          </w:tcPr>
          <w:p>
            <w:pPr>
              <w:jc w:val="right"/>
              <w:ind w:right="320"/>
              <w:spacing w:after="0"/>
              <w:rPr>
                <w:sz w:val="20"/>
                <w:szCs w:val="20"/>
                <w:color w:val="auto"/>
              </w:rPr>
            </w:pPr>
            <w:r>
              <w:rPr>
                <w:rFonts w:ascii="Arial" w:cs="Arial" w:eastAsia="Arial" w:hAnsi="Arial"/>
                <w:sz w:val="18"/>
                <w:szCs w:val="18"/>
                <w:color w:val="auto"/>
              </w:rPr>
              <w:t>44.5</w:t>
            </w:r>
          </w:p>
        </w:tc>
        <w:tc>
          <w:tcPr>
            <w:tcW w:w="130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45.9</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stock-based awards were excluded from the weighted average number of shares outstanding used to compute diluted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660" w:type="dxa"/>
            <w:vAlign w:val="bottom"/>
            <w:tcBorders>
              <w:bottom w:val="single" w:sz="8" w:color="2B4C9B"/>
            </w:tcBorders>
          </w:tcPr>
          <w:p>
            <w:pPr>
              <w:spacing w:after="0"/>
              <w:rPr>
                <w:sz w:val="15"/>
                <w:szCs w:val="15"/>
                <w:color w:val="auto"/>
              </w:rPr>
            </w:pPr>
          </w:p>
        </w:tc>
        <w:tc>
          <w:tcPr>
            <w:tcW w:w="1700" w:type="dxa"/>
            <w:vAlign w:val="bottom"/>
            <w:tcBorders>
              <w:bottom w:val="single" w:sz="8" w:color="2B4C9B"/>
            </w:tcBorders>
          </w:tcPr>
          <w:p>
            <w:pPr>
              <w:jc w:val="right"/>
              <w:ind w:right="564"/>
              <w:spacing w:after="0"/>
              <w:rPr>
                <w:sz w:val="20"/>
                <w:szCs w:val="20"/>
                <w:color w:val="auto"/>
              </w:rPr>
            </w:pPr>
            <w:r>
              <w:rPr>
                <w:rFonts w:ascii="Arial" w:cs="Arial" w:eastAsia="Arial" w:hAnsi="Arial"/>
                <w:sz w:val="14"/>
                <w:szCs w:val="14"/>
                <w:color w:val="auto"/>
              </w:rPr>
              <w:t>Year Ended</w:t>
            </w:r>
          </w:p>
        </w:tc>
        <w:tc>
          <w:tcPr>
            <w:tcW w:w="130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1660" w:type="dxa"/>
            <w:vAlign w:val="bottom"/>
          </w:tcPr>
          <w:p>
            <w:pPr>
              <w:jc w:val="right"/>
              <w:ind w:right="242"/>
              <w:spacing w:after="0"/>
              <w:rPr>
                <w:sz w:val="20"/>
                <w:szCs w:val="20"/>
                <w:color w:val="auto"/>
              </w:rPr>
            </w:pPr>
            <w:r>
              <w:rPr>
                <w:rFonts w:ascii="Arial" w:cs="Arial" w:eastAsia="Arial" w:hAnsi="Arial"/>
                <w:sz w:val="14"/>
                <w:szCs w:val="14"/>
                <w:b w:val="1"/>
                <w:bCs w:val="1"/>
                <w:color w:val="2B4C9B"/>
              </w:rPr>
              <w:t>February 1,</w:t>
            </w:r>
          </w:p>
        </w:tc>
        <w:tc>
          <w:tcPr>
            <w:tcW w:w="1700" w:type="dxa"/>
            <w:vAlign w:val="bottom"/>
          </w:tcPr>
          <w:p>
            <w:pPr>
              <w:jc w:val="right"/>
              <w:ind w:right="364"/>
              <w:spacing w:after="0"/>
              <w:rPr>
                <w:sz w:val="20"/>
                <w:szCs w:val="20"/>
                <w:color w:val="auto"/>
              </w:rPr>
            </w:pPr>
            <w:r>
              <w:rPr>
                <w:rFonts w:ascii="Arial" w:cs="Arial" w:eastAsia="Arial" w:hAnsi="Arial"/>
                <w:sz w:val="14"/>
                <w:szCs w:val="14"/>
                <w:color w:val="auto"/>
              </w:rPr>
              <w:t>February 2,</w:t>
            </w:r>
          </w:p>
        </w:tc>
        <w:tc>
          <w:tcPr>
            <w:tcW w:w="1300" w:type="dxa"/>
            <w:vAlign w:val="bottom"/>
          </w:tcPr>
          <w:p>
            <w:pPr>
              <w:jc w:val="right"/>
              <w:ind w:right="82"/>
              <w:spacing w:after="0"/>
              <w:rPr>
                <w:sz w:val="20"/>
                <w:szCs w:val="20"/>
                <w:color w:val="auto"/>
              </w:rPr>
            </w:pPr>
            <w:r>
              <w:rPr>
                <w:rFonts w:ascii="Arial" w:cs="Arial" w:eastAsia="Arial" w:hAnsi="Arial"/>
                <w:sz w:val="14"/>
                <w:szCs w:val="14"/>
                <w:color w:val="auto"/>
              </w:rPr>
              <w:t>February 3,</w:t>
            </w:r>
          </w:p>
        </w:tc>
      </w:tr>
      <w:tr>
        <w:trPr>
          <w:trHeight w:val="196"/>
        </w:trPr>
        <w:tc>
          <w:tcPr>
            <w:tcW w:w="6740" w:type="dxa"/>
            <w:vAlign w:val="bottom"/>
            <w:tcBorders>
              <w:bottom w:val="single" w:sz="8" w:color="2B4C9B"/>
            </w:tcBorders>
          </w:tcPr>
          <w:p>
            <w:pPr>
              <w:spacing w:after="0"/>
              <w:rPr>
                <w:sz w:val="17"/>
                <w:szCs w:val="17"/>
                <w:color w:val="auto"/>
              </w:rPr>
            </w:pPr>
          </w:p>
        </w:tc>
        <w:tc>
          <w:tcPr>
            <w:tcW w:w="1660" w:type="dxa"/>
            <w:vAlign w:val="bottom"/>
            <w:tcBorders>
              <w:bottom w:val="single" w:sz="8" w:color="2B4C9B"/>
            </w:tcBorders>
          </w:tcPr>
          <w:p>
            <w:pPr>
              <w:jc w:val="right"/>
              <w:ind w:right="202"/>
              <w:spacing w:after="0"/>
              <w:rPr>
                <w:sz w:val="20"/>
                <w:szCs w:val="20"/>
                <w:color w:val="auto"/>
              </w:rPr>
            </w:pPr>
            <w:r>
              <w:rPr>
                <w:rFonts w:ascii="Arial" w:cs="Arial" w:eastAsia="Arial" w:hAnsi="Arial"/>
                <w:sz w:val="14"/>
                <w:szCs w:val="14"/>
                <w:b w:val="1"/>
                <w:bCs w:val="1"/>
                <w:color w:val="2B4C9B"/>
              </w:rPr>
              <w:t>2019</w:t>
            </w:r>
          </w:p>
        </w:tc>
        <w:tc>
          <w:tcPr>
            <w:tcW w:w="1700" w:type="dxa"/>
            <w:vAlign w:val="bottom"/>
            <w:tcBorders>
              <w:bottom w:val="single" w:sz="8" w:color="2B4C9B"/>
            </w:tcBorders>
          </w:tcPr>
          <w:p>
            <w:pPr>
              <w:jc w:val="right"/>
              <w:ind w:right="324"/>
              <w:spacing w:after="0"/>
              <w:rPr>
                <w:sz w:val="20"/>
                <w:szCs w:val="20"/>
                <w:color w:val="auto"/>
              </w:rPr>
            </w:pPr>
            <w:r>
              <w:rPr>
                <w:rFonts w:ascii="Arial" w:cs="Arial" w:eastAsia="Arial" w:hAnsi="Arial"/>
                <w:sz w:val="14"/>
                <w:szCs w:val="14"/>
                <w:color w:val="auto"/>
              </w:rPr>
              <w:t>2018</w:t>
            </w:r>
          </w:p>
        </w:tc>
        <w:tc>
          <w:tcPr>
            <w:tcW w:w="1300" w:type="dxa"/>
            <w:vAlign w:val="bottom"/>
            <w:tcBorders>
              <w:bottom w:val="single" w:sz="8" w:color="2B4C9B"/>
            </w:tcBorders>
          </w:tcPr>
          <w:p>
            <w:pPr>
              <w:jc w:val="right"/>
              <w:ind w:right="42"/>
              <w:spacing w:after="0"/>
              <w:rPr>
                <w:sz w:val="20"/>
                <w:szCs w:val="20"/>
                <w:color w:val="auto"/>
              </w:rPr>
            </w:pPr>
            <w:r>
              <w:rPr>
                <w:rFonts w:ascii="Arial" w:cs="Arial" w:eastAsia="Arial" w:hAnsi="Arial"/>
                <w:sz w:val="14"/>
                <w:szCs w:val="14"/>
                <w:color w:val="auto"/>
              </w:rPr>
              <w:t>2017</w:t>
            </w:r>
          </w:p>
        </w:tc>
      </w:tr>
      <w:tr>
        <w:trPr>
          <w:trHeight w:val="264"/>
        </w:trPr>
        <w:tc>
          <w:tcPr>
            <w:tcW w:w="6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00" w:type="dxa"/>
            <w:vAlign w:val="bottom"/>
          </w:tcPr>
          <w:p>
            <w:pPr>
              <w:jc w:val="right"/>
              <w:ind w:right="584"/>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2"/>
                <w:szCs w:val="22"/>
                <w:color w:val="auto"/>
              </w:rPr>
            </w:pPr>
          </w:p>
        </w:tc>
      </w:tr>
      <w:tr>
        <w:trPr>
          <w:trHeight w:val="283"/>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Antidilutive stock options excluded</w:t>
            </w:r>
          </w:p>
        </w:tc>
        <w:tc>
          <w:tcPr>
            <w:tcW w:w="1660" w:type="dxa"/>
            <w:vAlign w:val="bottom"/>
            <w:tcBorders>
              <w:bottom w:val="single" w:sz="8" w:color="2B4C9B"/>
            </w:tcBorders>
            <w:shd w:val="clear" w:color="auto" w:fill="CFF0FC"/>
          </w:tcPr>
          <w:p>
            <w:pPr>
              <w:jc w:val="right"/>
              <w:ind w:right="202"/>
              <w:spacing w:after="0"/>
              <w:rPr>
                <w:sz w:val="20"/>
                <w:szCs w:val="20"/>
                <w:color w:val="auto"/>
              </w:rPr>
            </w:pPr>
            <w:r>
              <w:rPr>
                <w:rFonts w:ascii="Arial" w:cs="Arial" w:eastAsia="Arial" w:hAnsi="Arial"/>
                <w:sz w:val="18"/>
                <w:szCs w:val="18"/>
                <w:b w:val="1"/>
                <w:bCs w:val="1"/>
                <w:color w:val="2B4C9B"/>
              </w:rPr>
              <w:t>0.2</w:t>
            </w:r>
          </w:p>
        </w:tc>
        <w:tc>
          <w:tcPr>
            <w:tcW w:w="1700" w:type="dxa"/>
            <w:vAlign w:val="bottom"/>
            <w:tcBorders>
              <w:bottom w:val="single" w:sz="8" w:color="2B4C9B"/>
            </w:tcBorders>
            <w:shd w:val="clear" w:color="auto" w:fill="CFF0FC"/>
          </w:tcPr>
          <w:p>
            <w:pPr>
              <w:jc w:val="right"/>
              <w:ind w:right="324"/>
              <w:spacing w:after="0"/>
              <w:rPr>
                <w:sz w:val="20"/>
                <w:szCs w:val="20"/>
                <w:color w:val="auto"/>
              </w:rPr>
            </w:pPr>
            <w:r>
              <w:rPr>
                <w:rFonts w:ascii="Arial" w:cs="Arial" w:eastAsia="Arial" w:hAnsi="Arial"/>
                <w:sz w:val="18"/>
                <w:szCs w:val="18"/>
                <w:color w:val="auto"/>
              </w:rPr>
              <w:t>0.2</w:t>
            </w:r>
          </w:p>
        </w:tc>
        <w:tc>
          <w:tcPr>
            <w:tcW w:w="130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color w:val="auto"/>
              </w:rPr>
              <w:t>0.2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Share Repurchases</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may repurchase shares in accordance with established repurchase plans. The Company retires its common stock upon repurchase with the excess over par value allocated to additional paid-in capital. The Company has not made any material purchases of common stock other than in connection with established share repurchase plans. On December 15, 2016, the number of shares of our common stock that may be repurchased under our existing repurchase plan, previously announced in October 2013, was increased by approximately 3.3 million shares, bringing the total authorized shares to be repurchased under the plan to approximately 11.8 million shares. As of February 1, 2019, the Company has repurchased approximately 9.6 million shares of common stock under the plan. Subsequent to the end of fiscal 2019, the number of shares that may be repurchased increased by approximately 4.6 million shares, bringing the total authorized shares to be repurchased under the plan to approximately 16.4 million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Dividends</w:t>
      </w:r>
    </w:p>
    <w:p>
      <w:pPr>
        <w:spacing w:after="0" w:line="2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declared and paid quarterly dividends of $0.31 per share every quarter for the years presented. Total dividends declared and paid were $1.24 per share during each of fiscal year 2019, 2018 and 2017.</w:t>
      </w:r>
    </w:p>
    <w:p>
      <w:pPr>
        <w:spacing w:after="0" w:line="15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March 27, 2019, the Company’s Board of Directors declared a cash dividend of $0.37 per share of the Company’s common stock payable on April 26, 2019 to stockholders of record on April 12,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3—Revenues: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Revenue Recognition</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provides technical, engineering and enterprise IT services under long-term service arrangements primarily with the U.S. government including subcontracts with other contractors engaged in work for the U.S. government. The Company also serves a number of state and local governments, foreign governments and U.S. commercial customers.</w:t>
      </w:r>
    </w:p>
    <w:p>
      <w:pPr>
        <w:spacing w:after="0" w:line="16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Company provides services under various contract types, including firm-fixed price (FFP), time-and-materials (T&amp;M), cost-plus-fixed-fee, cost-plus-award-fee and cost-plus-incentive-fee contracts. Our service arrangements typically involve an annual base period of performance followed by renewal periods that are accounted for as separate contracts upon each exercise.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F-18</w:t>
      </w:r>
    </w:p>
    <w:p>
      <w:pPr>
        <w:sectPr>
          <w:pgSz w:w="11900" w:h="16838" w:orient="portrait"/>
          <w:cols w:equalWidth="0" w:num="1">
            <w:col w:w="11400"/>
          </w:cols>
          <w:pgMar w:left="240" w:top="141" w:right="259" w:bottom="1440" w:gutter="0" w:footer="0" w:header="0"/>
        </w:sectPr>
      </w:pPr>
    </w:p>
    <w:bookmarkStart w:id="64" w:name="page65"/>
    <w:bookmarkEnd w:id="6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recognizes revenue when, or as, we satisfy our performance obligations under a contract. A performance obligation is the unit of account for revenue recognition and refers to a promise in a contract to transfer a distinct service or good to the customer. The majority of the Company’s contracts contain a single performance obligation involving a significant integration of various activities that are performed together to deliver a combined service or solution. Performance obligations may be satisfied over time or at a point in time, but the majority of the Company’s performance obligations are satisfied over time. The Company selects the appropriate measure of progress for revenue recognition based on the nature of the performance obligation, contract type and other pertinent contract terms.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Over time performance obligations may involve a series of recurring services, such as network operations and maintenance, operation and program support services, IT outsourcing services, and other IT arrangements where the Company is standing ready to provide support, when-and-if needed. Such performance obligations are satisfied over time because the customer simultaneously receives and consumes the benefits of our performance as services are provided. Alternatively, over time performance obligations may involve the completion of a contract deliverable. Examples include systems integration, network engineering, network design, and engineering and build services. Deliverable-based performance obligations are satisfied over time when the Company’s performance creates or enhances an asset that is controlled by the customer, or when the Company’s performance creates an asset that is customized to the customer’s specifications and the Company has a right to payment, including profit, for work performed to date.</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recurring services performance obligations, the Company measures progress using either a cost input measure (cost-to-cost), a time-elapsed output measure, or the as-invoiced practical expedient. A cost input measure typically is applied to the Company’s cost-reimbursable contracts. Revenue is recognized based on the ratio of costs incurred to total estimated costs at completion. Award or incentive fees are allocated to the distinct periods to which they relate. For fixed-price contracts, a time-elapsed output measure is applied to fixed consideration, such that revenue is recognized ratably over the period of performance. Where fixed-price contracts also provide for reimbursement of certain costs, such as travel or other direct costs, consideration may be attributed only to a distinct subset of time within the performance period. The Company’s time-and-material and fixed price-level of effort contracts generally qualify for the as-invoiced practical expedient. Revenue is recognized in the amount to which the Company has a contractual right to invoice. Contract modifications typically create new enforceable rights and obligations, which are accounted for prospectively. Changes to our estimates of the transaction price are recognized as a cumulative adjustment to revenue.</w:t>
      </w:r>
    </w:p>
    <w:p>
      <w:pPr>
        <w:spacing w:after="0" w:line="1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deliverable-based performance obligations satisfied over time, the Company recognizes revenue using a cost input measure of progress (cost-to-cost), regardless of contract type. Revenue is recognized based on the ratio of costs incurred to total estimated costs at completion, except for certain contracts for which the costs associated with significant materials or hardware procurements are excluded from the measure of progress and revenue is recognized on an adjusted cost-to-cost basis. Contract modifications typically change currently enforceable rights and obligations and are accounted for as a cumulative adjustment to revenue. Changes to our estimates of transaction price are recognized as a cumulative adjustment to revenue.</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performance obligations in which the Company does not transfer control over time, we recognize revenue at the point-in-time when the customer obtains control of the related asset, usually at the time of shipment or upon delivery. The Company accrues for shipping and handling costs occurring after the point-in-time control transfers to the customer.</w:t>
      </w:r>
    </w:p>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Recognizing revenue on long-term contracts involves significant estimates and judgments. The transaction price is the estimated amount of consideration we expect to receive for performance under our contracts. Contract terms may include variable consideration, such as reimbursable costs, award and incentive fees, usage-based fees, service-level penalties, performance bonuses, or other provisions that can either increase or decrease the transaction price. Variable amounts generally are determined upon our achievement of certain performance metrics, program milestones or cost targets and may be based upon customer discretion. When making our estimates, the Company considers the customer, contract terms, the complexity of the work and related risks, the extent of customer discretion, historical experience and the potential of a significant reversal of revenue. The Company includes variable consideration in the transaction price only to the extent it is probable that a significant reversal of cumulative revenue recognized will not occur when the uncertainty associated with the variable consideration is resolved.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F-19</w:t>
      </w:r>
    </w:p>
    <w:p>
      <w:pPr>
        <w:sectPr>
          <w:pgSz w:w="11900" w:h="16838" w:orient="portrait"/>
          <w:cols w:equalWidth="0" w:num="1">
            <w:col w:w="11380"/>
          </w:cols>
          <w:pgMar w:left="240" w:top="141" w:right="279" w:bottom="1440" w:gutter="0" w:footer="0" w:header="0"/>
        </w:sectPr>
      </w:pPr>
    </w:p>
    <w:bookmarkStart w:id="65" w:name="page66"/>
    <w:bookmarkEnd w:id="6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Estimating costs at completion is complex due to the nature of the services being performed and the length of certain contracts. Contract costs generally include direct costs, such as labor, subcontract costs and materials, and indirect costs identifiable with or allocable to a specific contract. Management must make assumptions regarding the complexity of the work to be performed, the schedule and associated tasks, labor productivity and availability, increases in wages and prices of materials, execution by our subcontractors, overhead cost rates, and other variables. Contract costs incurred for U.S. government contracts, including indirect costs, are subject to audit and adjustment by the Defense Contract Audit Agency ("DCAA").</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Contract fulfillment costs are expensed as incurred except for certain costs incurred for transition, set-up or other fulfillment activities, which are capitalized and amortized on a straight-line basis over the expected period of benefit, which generally includes the base contract period of performance and anticipated renewal periods. The Company provides for anticipated losses on contracts with the U.S. government by recording an expense for the total expected loss during the period in which the losses are first determined.</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contracts with multiple performance obligations, the Company allocates transaction price to each performance obligation based on the relative standalone selling price of each distinct performance obligation within the contract. Because the Company typically provides customized services and solutions that are specific to a single customer’s requirements, standalone selling price is most often estimated based on expected costs plus a reasonable profit margin.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Changes in Estimates on Contracts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Changes in estimates of revenues, cost of revenues or profits related to performance obligations satisfied 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Aggregate changes in these estimates recognized in operating income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56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95"/>
              <w:spacing w:after="0"/>
              <w:rPr>
                <w:sz w:val="20"/>
                <w:szCs w:val="20"/>
                <w:color w:val="auto"/>
              </w:rPr>
            </w:pPr>
            <w:r>
              <w:rPr>
                <w:rFonts w:ascii="Arial" w:cs="Arial" w:eastAsia="Arial" w:hAnsi="Arial"/>
                <w:sz w:val="14"/>
                <w:szCs w:val="14"/>
                <w:b w:val="1"/>
                <w:bCs w:val="1"/>
                <w:color w:val="2B4C9B"/>
              </w:rPr>
              <w:t>February 1,</w:t>
            </w:r>
          </w:p>
        </w:tc>
        <w:tc>
          <w:tcPr>
            <w:tcW w:w="320" w:type="dxa"/>
            <w:vAlign w:val="bottom"/>
          </w:tcPr>
          <w:p>
            <w:pPr>
              <w:spacing w:after="0"/>
              <w:rPr>
                <w:sz w:val="15"/>
                <w:szCs w:val="15"/>
                <w:color w:val="auto"/>
              </w:rPr>
            </w:pPr>
          </w:p>
        </w:tc>
        <w:tc>
          <w:tcPr>
            <w:tcW w:w="1280" w:type="dxa"/>
            <w:vAlign w:val="bottom"/>
          </w:tcPr>
          <w:p>
            <w:pPr>
              <w:jc w:val="right"/>
              <w:ind w:right="95"/>
              <w:spacing w:after="0"/>
              <w:rPr>
                <w:sz w:val="20"/>
                <w:szCs w:val="20"/>
                <w:color w:val="auto"/>
              </w:rPr>
            </w:pPr>
            <w:r>
              <w:rPr>
                <w:rFonts w:ascii="Arial" w:cs="Arial" w:eastAsia="Arial" w:hAnsi="Arial"/>
                <w:sz w:val="14"/>
                <w:szCs w:val="14"/>
                <w:color w:val="auto"/>
              </w:rPr>
              <w:t>February 2,</w:t>
            </w:r>
          </w:p>
        </w:tc>
        <w:tc>
          <w:tcPr>
            <w:tcW w:w="56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February 3,</w:t>
            </w:r>
          </w:p>
        </w:tc>
      </w:tr>
      <w:tr>
        <w:trPr>
          <w:trHeight w:val="196"/>
        </w:trPr>
        <w:tc>
          <w:tcPr>
            <w:tcW w:w="672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b w:val="1"/>
                <w:bCs w:val="1"/>
                <w:color w:val="2B4C9B"/>
              </w:rPr>
              <w:t>2019</w:t>
            </w:r>
          </w:p>
        </w:tc>
        <w:tc>
          <w:tcPr>
            <w:tcW w:w="32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2017</w:t>
            </w:r>
          </w:p>
        </w:tc>
      </w:tr>
      <w:tr>
        <w:trPr>
          <w:trHeight w:val="264"/>
        </w:trPr>
        <w:tc>
          <w:tcPr>
            <w:tcW w:w="6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gridSpan w:val="4"/>
          </w:tcPr>
          <w:p>
            <w:pPr>
              <w:jc w:val="right"/>
              <w:ind w:right="10"/>
              <w:spacing w:after="0"/>
              <w:rPr>
                <w:sz w:val="20"/>
                <w:szCs w:val="20"/>
                <w:color w:val="auto"/>
              </w:rPr>
            </w:pPr>
            <w:r>
              <w:rPr>
                <w:rFonts w:ascii="Arial" w:cs="Arial" w:eastAsia="Arial" w:hAnsi="Arial"/>
                <w:sz w:val="14"/>
                <w:szCs w:val="14"/>
                <w:color w:val="auto"/>
              </w:rPr>
              <w:t>(in millions, except per share amounts)</w:t>
            </w:r>
          </w:p>
        </w:tc>
        <w:tc>
          <w:tcPr>
            <w:tcW w:w="1000" w:type="dxa"/>
            <w:vAlign w:val="bottom"/>
          </w:tcPr>
          <w:p>
            <w:pPr>
              <w:spacing w:after="0"/>
              <w:rPr>
                <w:sz w:val="22"/>
                <w:szCs w:val="22"/>
                <w:color w:val="auto"/>
              </w:rPr>
            </w:pP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Favorable adjustments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30</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Unfavorable adjustments</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(13)</w:t>
            </w: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(unfavorable) favorable adjustments</w:t>
            </w:r>
          </w:p>
        </w:tc>
        <w:tc>
          <w:tcPr>
            <w:tcW w:w="34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17</w:t>
            </w:r>
          </w:p>
        </w:tc>
        <w:tc>
          <w:tcPr>
            <w:tcW w:w="32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Income tax effect</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(4)</w:t>
            </w: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(unfavorable) favorable adjustments, after tax</w:t>
            </w:r>
          </w:p>
        </w:tc>
        <w:tc>
          <w:tcPr>
            <w:tcW w:w="34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13</w:t>
            </w:r>
          </w:p>
        </w:tc>
        <w:tc>
          <w:tcPr>
            <w:tcW w:w="320" w:type="dxa"/>
            <w:vAlign w:val="bottom"/>
            <w:tcBorders>
              <w:bottom w:val="single" w:sz="8" w:color="2B4C9B"/>
            </w:tcBorders>
            <w:shd w:val="clear" w:color="auto" w:fill="CFF0FC"/>
          </w:tcPr>
          <w:p>
            <w:pPr>
              <w:spacing w:after="0"/>
              <w:rPr>
                <w:sz w:val="22"/>
                <w:szCs w:val="22"/>
                <w:color w:val="auto"/>
              </w:rPr>
            </w:pPr>
          </w:p>
        </w:tc>
        <w:tc>
          <w:tcPr>
            <w:tcW w:w="1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2B4C9B"/>
            </w:tcBorders>
            <w:shd w:val="clear" w:color="auto" w:fill="CFF0FC"/>
          </w:tcPr>
          <w:p>
            <w:pPr>
              <w:spacing w:after="0"/>
              <w:rPr>
                <w:sz w:val="22"/>
                <w:szCs w:val="22"/>
                <w:color w:val="auto"/>
              </w:rPr>
            </w:pPr>
          </w:p>
        </w:tc>
        <w:tc>
          <w:tcPr>
            <w:tcW w:w="10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Basic EPS impact</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0.29</w:t>
            </w:r>
          </w:p>
        </w:tc>
        <w:tc>
          <w:tcPr>
            <w:tcW w:w="32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(0.05)</w:t>
            </w:r>
          </w:p>
        </w:tc>
        <w:tc>
          <w:tcPr>
            <w:tcW w:w="56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0.34</w:t>
            </w:r>
          </w:p>
        </w:tc>
      </w:tr>
      <w:tr>
        <w:trPr>
          <w:trHeight w:val="264"/>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EPS impact</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0.29</w:t>
            </w:r>
          </w:p>
        </w:tc>
        <w:tc>
          <w:tcPr>
            <w:tcW w:w="32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56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0.33</w:t>
            </w:r>
          </w:p>
        </w:tc>
      </w:tr>
    </w:tbl>
    <w:p>
      <w:pPr>
        <w:spacing w:after="0" w:line="17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addition, revenues were $8 million higher for the twelve months ended February 1, 2019, due to net revenue recognized from performance obligations satisfied in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Disaggregation of Revenues</w:t>
      </w:r>
    </w:p>
    <w:p>
      <w:pPr>
        <w:spacing w:after="0" w:line="20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The Company's revenues are generated primarily from long-term contracts with the U.S. government including subcontracts with other contractors engaged in work for the U.S. government. The Company disaggregates revenues by customer, contract-type and prime vs. subcontractor to the federal government.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F-20</w:t>
      </w:r>
    </w:p>
    <w:p>
      <w:pPr>
        <w:sectPr>
          <w:pgSz w:w="11900" w:h="16838" w:orient="portrait"/>
          <w:cols w:equalWidth="0" w:num="1">
            <w:col w:w="11400"/>
          </w:cols>
          <w:pgMar w:left="240" w:top="141" w:right="259" w:bottom="1440" w:gutter="0" w:footer="0" w:header="0"/>
        </w:sectPr>
      </w:pPr>
    </w:p>
    <w:bookmarkStart w:id="66" w:name="page67"/>
    <w:bookmarkEnd w:id="6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color w:val="auto"/>
              </w:rPr>
              <w:t>Year Ended</w:t>
            </w:r>
          </w:p>
        </w:tc>
      </w:tr>
      <w:tr>
        <w:trPr>
          <w:trHeight w:val="250"/>
        </w:trPr>
        <w:tc>
          <w:tcPr>
            <w:tcW w:w="9820" w:type="dxa"/>
            <w:vAlign w:val="bottom"/>
            <w:tcBorders>
              <w:bottom w:val="single" w:sz="8" w:color="2B4C9B"/>
            </w:tcBorders>
          </w:tcPr>
          <w:p>
            <w:pPr>
              <w:spacing w:after="0"/>
              <w:rPr>
                <w:sz w:val="21"/>
                <w:szCs w:val="21"/>
                <w:color w:val="auto"/>
              </w:rPr>
            </w:pPr>
          </w:p>
        </w:tc>
        <w:tc>
          <w:tcPr>
            <w:tcW w:w="240" w:type="dxa"/>
            <w:vAlign w:val="bottom"/>
            <w:tcBorders>
              <w:bottom w:val="single" w:sz="8" w:color="2B4C9B"/>
            </w:tcBorders>
          </w:tcPr>
          <w:p>
            <w:pPr>
              <w:spacing w:after="0"/>
              <w:rPr>
                <w:sz w:val="21"/>
                <w:szCs w:val="21"/>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b w:val="1"/>
                <w:bCs w:val="1"/>
                <w:color w:val="2B4C9B"/>
              </w:rPr>
              <w:t>February 1, 2019</w:t>
            </w:r>
          </w:p>
        </w:tc>
      </w:tr>
      <w:tr>
        <w:trPr>
          <w:trHeight w:val="264"/>
        </w:trPr>
        <w:tc>
          <w:tcPr>
            <w:tcW w:w="9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58"/>
              <w:spacing w:after="0"/>
              <w:rPr>
                <w:sz w:val="20"/>
                <w:szCs w:val="20"/>
                <w:color w:val="auto"/>
              </w:rPr>
            </w:pPr>
            <w:r>
              <w:rPr>
                <w:rFonts w:ascii="Arial" w:cs="Arial" w:eastAsia="Arial" w:hAnsi="Arial"/>
                <w:sz w:val="14"/>
                <w:szCs w:val="14"/>
                <w:color w:val="auto"/>
              </w:rPr>
              <w:t>(in millions)</w:t>
            </w:r>
          </w:p>
        </w:tc>
      </w:tr>
      <w:tr>
        <w:trPr>
          <w:trHeight w:val="263"/>
        </w:trPr>
        <w:tc>
          <w:tcPr>
            <w:tcW w:w="9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Department of Defense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2,805</w:t>
            </w:r>
          </w:p>
        </w:tc>
      </w:tr>
      <w:tr>
        <w:trPr>
          <w:trHeight w:val="250"/>
        </w:trPr>
        <w:tc>
          <w:tcPr>
            <w:tcW w:w="9820" w:type="dxa"/>
            <w:vAlign w:val="bottom"/>
          </w:tcPr>
          <w:p>
            <w:pPr>
              <w:ind w:left="40"/>
              <w:spacing w:after="0"/>
              <w:rPr>
                <w:sz w:val="20"/>
                <w:szCs w:val="20"/>
                <w:color w:val="auto"/>
              </w:rPr>
            </w:pPr>
            <w:r>
              <w:rPr>
                <w:rFonts w:ascii="Arial" w:cs="Arial" w:eastAsia="Arial" w:hAnsi="Arial"/>
                <w:sz w:val="18"/>
                <w:szCs w:val="18"/>
                <w:color w:val="auto"/>
              </w:rPr>
              <w:t>Other federal government agencies</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b w:val="1"/>
                <w:bCs w:val="1"/>
                <w:color w:val="2B4C9B"/>
              </w:rPr>
              <w:t>1,707</w:t>
            </w:r>
          </w:p>
        </w:tc>
      </w:tr>
      <w:tr>
        <w:trPr>
          <w:trHeight w:val="257"/>
        </w:trPr>
        <w:tc>
          <w:tcPr>
            <w:tcW w:w="9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Commercial, state and local</w:t>
            </w:r>
          </w:p>
        </w:tc>
        <w:tc>
          <w:tcPr>
            <w:tcW w:w="240" w:type="dxa"/>
            <w:vAlign w:val="bottom"/>
            <w:tcBorders>
              <w:bottom w:val="single" w:sz="8" w:color="2B4C9B"/>
            </w:tcBorders>
            <w:shd w:val="clear" w:color="auto" w:fill="CFF0FC"/>
          </w:tcPr>
          <w:p>
            <w:pPr>
              <w:spacing w:after="0"/>
              <w:rPr>
                <w:sz w:val="22"/>
                <w:szCs w:val="22"/>
                <w:color w:val="auto"/>
              </w:rPr>
            </w:pPr>
          </w:p>
        </w:tc>
        <w:tc>
          <w:tcPr>
            <w:tcW w:w="1360" w:type="dxa"/>
            <w:vAlign w:val="bottom"/>
            <w:tcBorders>
              <w:bottom w:val="single" w:sz="8" w:color="2B4C9B"/>
            </w:tcBorders>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147</w:t>
            </w:r>
          </w:p>
        </w:tc>
      </w:tr>
      <w:tr>
        <w:trPr>
          <w:trHeight w:val="264"/>
        </w:trPr>
        <w:tc>
          <w:tcPr>
            <w:tcW w:w="9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8"/>
                <w:szCs w:val="18"/>
                <w:b w:val="1"/>
                <w:bCs w:val="1"/>
                <w:color w:val="2B4C9B"/>
              </w:rPr>
              <w:t>4,659</w:t>
            </w:r>
          </w:p>
        </w:tc>
      </w:tr>
      <w:tr>
        <w:trPr>
          <w:trHeight w:val="392"/>
        </w:trPr>
        <w:tc>
          <w:tcPr>
            <w:tcW w:w="9820" w:type="dxa"/>
            <w:vAlign w:val="bottom"/>
          </w:tcPr>
          <w:p>
            <w:pPr>
              <w:spacing w:after="0"/>
              <w:rPr>
                <w:sz w:val="20"/>
                <w:szCs w:val="20"/>
                <w:color w:val="auto"/>
              </w:rPr>
            </w:pPr>
            <w:r>
              <w:rPr>
                <w:rFonts w:ascii="Arial" w:cs="Arial" w:eastAsia="Arial" w:hAnsi="Arial"/>
                <w:sz w:val="18"/>
                <w:szCs w:val="18"/>
                <w:color w:val="auto"/>
              </w:rPr>
              <w:t>Disaggregated revenues by contract-type was as follows: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9820" w:type="dxa"/>
            <w:vAlign w:val="bottom"/>
          </w:tcPr>
          <w:p>
            <w:pPr>
              <w:spacing w:after="0"/>
              <w:rPr>
                <w:sz w:val="24"/>
                <w:szCs w:val="24"/>
                <w:color w:val="auto"/>
              </w:rPr>
            </w:pPr>
          </w:p>
        </w:tc>
        <w:tc>
          <w:tcPr>
            <w:tcW w:w="240" w:type="dxa"/>
            <w:vAlign w:val="bottom"/>
            <w:tcBorders>
              <w:bottom w:val="single" w:sz="8" w:color="2B4C9B"/>
            </w:tcBorders>
          </w:tcPr>
          <w:p>
            <w:pPr>
              <w:spacing w:after="0"/>
              <w:rPr>
                <w:sz w:val="24"/>
                <w:szCs w:val="24"/>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color w:val="auto"/>
              </w:rPr>
              <w:t>Year Ended</w:t>
            </w:r>
          </w:p>
        </w:tc>
      </w:tr>
      <w:tr>
        <w:trPr>
          <w:trHeight w:val="250"/>
        </w:trPr>
        <w:tc>
          <w:tcPr>
            <w:tcW w:w="9820" w:type="dxa"/>
            <w:vAlign w:val="bottom"/>
            <w:tcBorders>
              <w:bottom w:val="single" w:sz="8" w:color="2B4C9B"/>
            </w:tcBorders>
          </w:tcPr>
          <w:p>
            <w:pPr>
              <w:spacing w:after="0"/>
              <w:rPr>
                <w:sz w:val="21"/>
                <w:szCs w:val="21"/>
                <w:color w:val="auto"/>
              </w:rPr>
            </w:pPr>
          </w:p>
        </w:tc>
        <w:tc>
          <w:tcPr>
            <w:tcW w:w="240" w:type="dxa"/>
            <w:vAlign w:val="bottom"/>
            <w:tcBorders>
              <w:bottom w:val="single" w:sz="8" w:color="2B4C9B"/>
            </w:tcBorders>
          </w:tcPr>
          <w:p>
            <w:pPr>
              <w:spacing w:after="0"/>
              <w:rPr>
                <w:sz w:val="21"/>
                <w:szCs w:val="21"/>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b w:val="1"/>
                <w:bCs w:val="1"/>
                <w:color w:val="2B4C9B"/>
              </w:rPr>
              <w:t>February 1, 2019</w:t>
            </w:r>
          </w:p>
        </w:tc>
      </w:tr>
      <w:tr>
        <w:trPr>
          <w:trHeight w:val="264"/>
        </w:trPr>
        <w:tc>
          <w:tcPr>
            <w:tcW w:w="9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58"/>
              <w:spacing w:after="0"/>
              <w:rPr>
                <w:sz w:val="20"/>
                <w:szCs w:val="20"/>
                <w:color w:val="auto"/>
              </w:rPr>
            </w:pPr>
            <w:r>
              <w:rPr>
                <w:rFonts w:ascii="Arial" w:cs="Arial" w:eastAsia="Arial" w:hAnsi="Arial"/>
                <w:sz w:val="14"/>
                <w:szCs w:val="14"/>
                <w:color w:val="auto"/>
              </w:rPr>
              <w:t>(in millions)</w:t>
            </w:r>
          </w:p>
        </w:tc>
      </w:tr>
      <w:tr>
        <w:trPr>
          <w:trHeight w:val="263"/>
        </w:trPr>
        <w:tc>
          <w:tcPr>
            <w:tcW w:w="9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reimbursement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2,306</w:t>
            </w:r>
          </w:p>
        </w:tc>
      </w:tr>
      <w:tr>
        <w:trPr>
          <w:trHeight w:val="250"/>
        </w:trPr>
        <w:tc>
          <w:tcPr>
            <w:tcW w:w="9820" w:type="dxa"/>
            <w:vAlign w:val="bottom"/>
          </w:tcPr>
          <w:p>
            <w:pPr>
              <w:ind w:left="40"/>
              <w:spacing w:after="0"/>
              <w:rPr>
                <w:sz w:val="20"/>
                <w:szCs w:val="20"/>
                <w:color w:val="auto"/>
              </w:rPr>
            </w:pPr>
            <w:r>
              <w:rPr>
                <w:rFonts w:ascii="Arial" w:cs="Arial" w:eastAsia="Arial" w:hAnsi="Arial"/>
                <w:sz w:val="18"/>
                <w:szCs w:val="18"/>
                <w:color w:val="auto"/>
              </w:rPr>
              <w:t>Time and materials (T&amp;M)</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b w:val="1"/>
                <w:bCs w:val="1"/>
                <w:color w:val="2B4C9B"/>
              </w:rPr>
              <w:t>1,086</w:t>
            </w:r>
          </w:p>
        </w:tc>
      </w:tr>
      <w:tr>
        <w:trPr>
          <w:trHeight w:val="257"/>
        </w:trPr>
        <w:tc>
          <w:tcPr>
            <w:tcW w:w="9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Firm-fixed price (FFP)</w:t>
            </w:r>
          </w:p>
        </w:tc>
        <w:tc>
          <w:tcPr>
            <w:tcW w:w="240" w:type="dxa"/>
            <w:vAlign w:val="bottom"/>
            <w:tcBorders>
              <w:bottom w:val="single" w:sz="8" w:color="2B4C9B"/>
            </w:tcBorders>
            <w:shd w:val="clear" w:color="auto" w:fill="CFF0FC"/>
          </w:tcPr>
          <w:p>
            <w:pPr>
              <w:spacing w:after="0"/>
              <w:rPr>
                <w:sz w:val="22"/>
                <w:szCs w:val="22"/>
                <w:color w:val="auto"/>
              </w:rPr>
            </w:pPr>
          </w:p>
        </w:tc>
        <w:tc>
          <w:tcPr>
            <w:tcW w:w="1360" w:type="dxa"/>
            <w:vAlign w:val="bottom"/>
            <w:tcBorders>
              <w:bottom w:val="single" w:sz="8" w:color="2B4C9B"/>
            </w:tcBorders>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1,267</w:t>
            </w:r>
          </w:p>
        </w:tc>
      </w:tr>
      <w:tr>
        <w:trPr>
          <w:trHeight w:val="264"/>
        </w:trPr>
        <w:tc>
          <w:tcPr>
            <w:tcW w:w="9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8"/>
                <w:szCs w:val="18"/>
                <w:b w:val="1"/>
                <w:bCs w:val="1"/>
                <w:color w:val="2B4C9B"/>
              </w:rPr>
              <w:t>4,659</w:t>
            </w:r>
          </w:p>
        </w:tc>
      </w:tr>
      <w:tr>
        <w:trPr>
          <w:trHeight w:val="392"/>
        </w:trPr>
        <w:tc>
          <w:tcPr>
            <w:tcW w:w="9820" w:type="dxa"/>
            <w:vAlign w:val="bottom"/>
          </w:tcPr>
          <w:p>
            <w:pPr>
              <w:spacing w:after="0"/>
              <w:rPr>
                <w:sz w:val="20"/>
                <w:szCs w:val="20"/>
                <w:color w:val="auto"/>
              </w:rPr>
            </w:pPr>
            <w:r>
              <w:rPr>
                <w:rFonts w:ascii="Arial" w:cs="Arial" w:eastAsia="Arial" w:hAnsi="Arial"/>
                <w:sz w:val="18"/>
                <w:szCs w:val="18"/>
                <w:color w:val="auto"/>
              </w:rPr>
              <w:t>Disaggregated revenues by prime vs. subcontractor was as follows: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9820" w:type="dxa"/>
            <w:vAlign w:val="bottom"/>
          </w:tcPr>
          <w:p>
            <w:pPr>
              <w:spacing w:after="0"/>
              <w:rPr>
                <w:sz w:val="24"/>
                <w:szCs w:val="24"/>
                <w:color w:val="auto"/>
              </w:rPr>
            </w:pPr>
          </w:p>
        </w:tc>
        <w:tc>
          <w:tcPr>
            <w:tcW w:w="240" w:type="dxa"/>
            <w:vAlign w:val="bottom"/>
            <w:tcBorders>
              <w:bottom w:val="single" w:sz="8" w:color="2B4C9B"/>
            </w:tcBorders>
          </w:tcPr>
          <w:p>
            <w:pPr>
              <w:spacing w:after="0"/>
              <w:rPr>
                <w:sz w:val="24"/>
                <w:szCs w:val="24"/>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color w:val="auto"/>
              </w:rPr>
              <w:t>Year Ended</w:t>
            </w:r>
          </w:p>
        </w:tc>
      </w:tr>
      <w:tr>
        <w:trPr>
          <w:trHeight w:val="250"/>
        </w:trPr>
        <w:tc>
          <w:tcPr>
            <w:tcW w:w="9820" w:type="dxa"/>
            <w:vAlign w:val="bottom"/>
            <w:tcBorders>
              <w:bottom w:val="single" w:sz="8" w:color="2B4C9B"/>
            </w:tcBorders>
          </w:tcPr>
          <w:p>
            <w:pPr>
              <w:spacing w:after="0"/>
              <w:rPr>
                <w:sz w:val="21"/>
                <w:szCs w:val="21"/>
                <w:color w:val="auto"/>
              </w:rPr>
            </w:pPr>
          </w:p>
        </w:tc>
        <w:tc>
          <w:tcPr>
            <w:tcW w:w="240" w:type="dxa"/>
            <w:vAlign w:val="bottom"/>
            <w:tcBorders>
              <w:bottom w:val="single" w:sz="8" w:color="2B4C9B"/>
            </w:tcBorders>
          </w:tcPr>
          <w:p>
            <w:pPr>
              <w:spacing w:after="0"/>
              <w:rPr>
                <w:sz w:val="21"/>
                <w:szCs w:val="21"/>
                <w:color w:val="auto"/>
              </w:rPr>
            </w:pP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b w:val="1"/>
                <w:bCs w:val="1"/>
                <w:color w:val="2B4C9B"/>
              </w:rPr>
              <w:t>February 1, 2019</w:t>
            </w:r>
          </w:p>
        </w:tc>
      </w:tr>
      <w:tr>
        <w:trPr>
          <w:trHeight w:val="264"/>
        </w:trPr>
        <w:tc>
          <w:tcPr>
            <w:tcW w:w="9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358"/>
              <w:spacing w:after="0"/>
              <w:rPr>
                <w:sz w:val="20"/>
                <w:szCs w:val="20"/>
                <w:color w:val="auto"/>
              </w:rPr>
            </w:pPr>
            <w:r>
              <w:rPr>
                <w:rFonts w:ascii="Arial" w:cs="Arial" w:eastAsia="Arial" w:hAnsi="Arial"/>
                <w:sz w:val="14"/>
                <w:szCs w:val="14"/>
                <w:color w:val="auto"/>
              </w:rPr>
              <w:t>(in millions)</w:t>
            </w:r>
          </w:p>
        </w:tc>
      </w:tr>
      <w:tr>
        <w:trPr>
          <w:trHeight w:val="263"/>
        </w:trPr>
        <w:tc>
          <w:tcPr>
            <w:tcW w:w="9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Prime contractor to federal government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4,178</w:t>
            </w:r>
          </w:p>
        </w:tc>
      </w:tr>
      <w:tr>
        <w:trPr>
          <w:trHeight w:val="250"/>
        </w:trPr>
        <w:tc>
          <w:tcPr>
            <w:tcW w:w="9820" w:type="dxa"/>
            <w:vAlign w:val="bottom"/>
          </w:tcPr>
          <w:p>
            <w:pPr>
              <w:ind w:left="40"/>
              <w:spacing w:after="0"/>
              <w:rPr>
                <w:sz w:val="20"/>
                <w:szCs w:val="20"/>
                <w:color w:val="auto"/>
              </w:rPr>
            </w:pPr>
            <w:r>
              <w:rPr>
                <w:rFonts w:ascii="Arial" w:cs="Arial" w:eastAsia="Arial" w:hAnsi="Arial"/>
                <w:sz w:val="18"/>
                <w:szCs w:val="18"/>
                <w:color w:val="auto"/>
              </w:rPr>
              <w:t>Subcontractor to federal government</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b w:val="1"/>
                <w:bCs w:val="1"/>
                <w:color w:val="2B4C9B"/>
              </w:rPr>
              <w:t>334</w:t>
            </w:r>
          </w:p>
        </w:tc>
      </w:tr>
      <w:tr>
        <w:trPr>
          <w:trHeight w:val="257"/>
        </w:trPr>
        <w:tc>
          <w:tcPr>
            <w:tcW w:w="9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2B4C9B"/>
            </w:tcBorders>
            <w:shd w:val="clear" w:color="auto" w:fill="CFF0FC"/>
          </w:tcPr>
          <w:p>
            <w:pPr>
              <w:spacing w:after="0"/>
              <w:rPr>
                <w:sz w:val="22"/>
                <w:szCs w:val="22"/>
                <w:color w:val="auto"/>
              </w:rPr>
            </w:pPr>
          </w:p>
        </w:tc>
        <w:tc>
          <w:tcPr>
            <w:tcW w:w="1360" w:type="dxa"/>
            <w:vAlign w:val="bottom"/>
            <w:tcBorders>
              <w:bottom w:val="single" w:sz="8" w:color="2B4C9B"/>
            </w:tcBorders>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147</w:t>
            </w:r>
          </w:p>
        </w:tc>
      </w:tr>
      <w:tr>
        <w:trPr>
          <w:trHeight w:val="264"/>
        </w:trPr>
        <w:tc>
          <w:tcPr>
            <w:tcW w:w="9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18"/>
              <w:spacing w:after="0"/>
              <w:rPr>
                <w:sz w:val="20"/>
                <w:szCs w:val="20"/>
                <w:color w:val="auto"/>
              </w:rPr>
            </w:pPr>
            <w:r>
              <w:rPr>
                <w:rFonts w:ascii="Arial" w:cs="Arial" w:eastAsia="Arial" w:hAnsi="Arial"/>
                <w:sz w:val="18"/>
                <w:szCs w:val="18"/>
                <w:b w:val="1"/>
                <w:bCs w:val="1"/>
                <w:color w:val="2B4C9B"/>
              </w:rPr>
              <w:t>4,659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Contract Balances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Timing of revenue recognition may differ from the timing of billing and cash receipts from customers. Amounts are invoiced as work progresses, typically biweekly or monthly in arrears, or upon achievement of contractual milestones. We record a contract asset when revenue is recognized prior to invoicing, or a contract liability when cash is received in advance of recognizing revenue. A contract asset is a right to consideration that is conditional upon factors other than the passage of time. Contract assets include unbillable receivables and contract retentions, but exclude billed and billable receivables. Billed and billable receivables are rights to consideration which are unconditional other than to the passage of time. Contract liabilities include customer advances, billings in excess of revenues and deferred revenue. Contract assets and liabilities are recorded net on a contract-by-contract basis and are generally classified as current based on our contract operating cycle. Deferred revenue attributable to long-term contract material renewal options may be classified as non-current when the option renewal period will not occur within one year of the balance sheet date.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F-21</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for the periods presented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2B4C9B"/>
              </w:rPr>
              <w:t>February 1,</w:t>
            </w:r>
          </w:p>
        </w:tc>
        <w:tc>
          <w:tcPr>
            <w:tcW w:w="300" w:type="dxa"/>
            <w:vAlign w:val="bottom"/>
          </w:tcPr>
          <w:p>
            <w:pPr>
              <w:spacing w:after="0"/>
              <w:rPr>
                <w:sz w:val="14"/>
                <w:szCs w:val="14"/>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color w:val="auto"/>
              </w:rPr>
              <w:t>February 3,</w:t>
            </w:r>
          </w:p>
        </w:tc>
      </w:tr>
      <w:tr>
        <w:trPr>
          <w:trHeight w:val="202"/>
        </w:trPr>
        <w:tc>
          <w:tcPr>
            <w:tcW w:w="4180" w:type="dxa"/>
            <w:vAlign w:val="bottom"/>
            <w:tcBorders>
              <w:bottom w:val="single" w:sz="8" w:color="2B4C9B"/>
            </w:tcBorders>
          </w:tcPr>
          <w:p>
            <w:pPr>
              <w:spacing w:after="0"/>
              <w:rPr>
                <w:sz w:val="17"/>
                <w:szCs w:val="17"/>
                <w:color w:val="auto"/>
              </w:rPr>
            </w:pPr>
          </w:p>
        </w:tc>
        <w:tc>
          <w:tcPr>
            <w:tcW w:w="3800" w:type="dxa"/>
            <w:vAlign w:val="bottom"/>
            <w:tcBorders>
              <w:bottom w:val="single" w:sz="8" w:color="2B4C9B"/>
            </w:tcBorders>
          </w:tcPr>
          <w:p>
            <w:pPr>
              <w:ind w:left="760"/>
              <w:spacing w:after="0"/>
              <w:rPr>
                <w:sz w:val="20"/>
                <w:szCs w:val="20"/>
                <w:color w:val="auto"/>
              </w:rPr>
            </w:pPr>
            <w:r>
              <w:rPr>
                <w:rFonts w:ascii="Arial" w:cs="Arial" w:eastAsia="Arial" w:hAnsi="Arial"/>
                <w:sz w:val="14"/>
                <w:szCs w:val="14"/>
                <w:color w:val="auto"/>
              </w:rPr>
              <w:t>Balance Sheet line item</w:t>
            </w:r>
          </w:p>
        </w:tc>
        <w:tc>
          <w:tcPr>
            <w:tcW w:w="122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2019</w:t>
            </w:r>
          </w:p>
        </w:tc>
        <w:tc>
          <w:tcPr>
            <w:tcW w:w="30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2018</w:t>
            </w:r>
            <w:r>
              <w:rPr>
                <w:rFonts w:ascii="Arial" w:cs="Arial" w:eastAsia="Arial" w:hAnsi="Arial"/>
                <w:sz w:val="17"/>
                <w:szCs w:val="17"/>
                <w:color w:val="auto"/>
                <w:vertAlign w:val="superscript"/>
              </w:rPr>
              <w:t>(1)</w:t>
            </w:r>
          </w:p>
        </w:tc>
      </w:tr>
      <w:tr>
        <w:trPr>
          <w:trHeight w:val="258"/>
        </w:trPr>
        <w:tc>
          <w:tcPr>
            <w:tcW w:w="41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20" w:type="dxa"/>
            <w:vAlign w:val="bottom"/>
            <w:gridSpan w:val="3"/>
          </w:tcPr>
          <w:p>
            <w:pPr>
              <w:jc w:val="right"/>
              <w:ind w:right="735"/>
              <w:spacing w:after="0"/>
              <w:rPr>
                <w:sz w:val="20"/>
                <w:szCs w:val="20"/>
                <w:color w:val="auto"/>
              </w:rPr>
            </w:pPr>
            <w:r>
              <w:rPr>
                <w:rFonts w:ascii="Arial" w:cs="Arial" w:eastAsia="Arial" w:hAnsi="Arial"/>
                <w:sz w:val="14"/>
                <w:szCs w:val="14"/>
                <w:color w:val="auto"/>
              </w:rPr>
              <w:t>(in millions)</w:t>
            </w:r>
          </w:p>
        </w:tc>
      </w:tr>
      <w:tr>
        <w:trPr>
          <w:trHeight w:val="276"/>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Billed and billable receivables, net</w:t>
            </w:r>
            <w:r>
              <w:rPr>
                <w:rFonts w:ascii="Arial" w:cs="Arial" w:eastAsia="Arial" w:hAnsi="Arial"/>
                <w:sz w:val="21"/>
                <w:szCs w:val="21"/>
                <w:color w:val="auto"/>
                <w:vertAlign w:val="superscript"/>
              </w:rPr>
              <w:t>(2)</w:t>
            </w:r>
          </w:p>
        </w:tc>
        <w:tc>
          <w:tcPr>
            <w:tcW w:w="3800" w:type="dxa"/>
            <w:vAlign w:val="bottom"/>
            <w:shd w:val="clear" w:color="auto" w:fill="CFF0FC"/>
          </w:tcPr>
          <w:p>
            <w:pPr>
              <w:ind w:left="760"/>
              <w:spacing w:after="0"/>
              <w:rPr>
                <w:sz w:val="20"/>
                <w:szCs w:val="20"/>
                <w:color w:val="auto"/>
              </w:rPr>
            </w:pPr>
            <w:r>
              <w:rPr>
                <w:rFonts w:ascii="Arial" w:cs="Arial" w:eastAsia="Arial" w:hAnsi="Arial"/>
                <w:sz w:val="18"/>
                <w:szCs w:val="18"/>
                <w:color w:val="auto"/>
              </w:rPr>
              <w:t>Receivables, net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740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515</w:t>
            </w:r>
          </w:p>
        </w:tc>
      </w:tr>
      <w:tr>
        <w:trPr>
          <w:trHeight w:val="263"/>
        </w:trPr>
        <w:tc>
          <w:tcPr>
            <w:tcW w:w="4180" w:type="dxa"/>
            <w:vAlign w:val="bottom"/>
          </w:tcPr>
          <w:p>
            <w:pPr>
              <w:ind w:left="280"/>
              <w:spacing w:after="0"/>
              <w:rPr>
                <w:sz w:val="20"/>
                <w:szCs w:val="20"/>
                <w:color w:val="auto"/>
              </w:rPr>
            </w:pPr>
            <w:r>
              <w:rPr>
                <w:rFonts w:ascii="Arial" w:cs="Arial" w:eastAsia="Arial" w:hAnsi="Arial"/>
                <w:sz w:val="18"/>
                <w:szCs w:val="18"/>
                <w:color w:val="auto"/>
              </w:rPr>
              <w:t>Contract assets - unbillable receivables</w:t>
            </w:r>
          </w:p>
        </w:tc>
        <w:tc>
          <w:tcPr>
            <w:tcW w:w="3800" w:type="dxa"/>
            <w:vAlign w:val="bottom"/>
          </w:tcPr>
          <w:p>
            <w:pPr>
              <w:ind w:left="760"/>
              <w:spacing w:after="0"/>
              <w:rPr>
                <w:sz w:val="20"/>
                <w:szCs w:val="20"/>
                <w:color w:val="auto"/>
              </w:rPr>
            </w:pPr>
            <w:r>
              <w:rPr>
                <w:rFonts w:ascii="Arial" w:cs="Arial" w:eastAsia="Arial" w:hAnsi="Arial"/>
                <w:sz w:val="18"/>
                <w:szCs w:val="18"/>
                <w:color w:val="auto"/>
              </w:rPr>
              <w:t>Receivables, net</w:t>
            </w:r>
          </w:p>
        </w:tc>
        <w:tc>
          <w:tcPr>
            <w:tcW w:w="12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2A4C9B"/>
              </w:rPr>
              <w:t>310</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158</w:t>
            </w:r>
          </w:p>
        </w:tc>
      </w:tr>
      <w:tr>
        <w:trPr>
          <w:trHeight w:val="277"/>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assets - contract retentions</w:t>
            </w:r>
          </w:p>
        </w:tc>
        <w:tc>
          <w:tcPr>
            <w:tcW w:w="3800" w:type="dxa"/>
            <w:vAlign w:val="bottom"/>
            <w:shd w:val="clear" w:color="auto" w:fill="CFF0FC"/>
          </w:tcPr>
          <w:p>
            <w:pPr>
              <w:ind w:left="76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13</w:t>
            </w:r>
          </w:p>
        </w:tc>
        <w:tc>
          <w:tcPr>
            <w:tcW w:w="30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w:t>
            </w:r>
          </w:p>
        </w:tc>
      </w:tr>
      <w:tr>
        <w:trPr>
          <w:trHeight w:val="263"/>
        </w:trPr>
        <w:tc>
          <w:tcPr>
            <w:tcW w:w="4180" w:type="dxa"/>
            <w:vAlign w:val="bottom"/>
          </w:tcPr>
          <w:p>
            <w:pPr>
              <w:ind w:left="280"/>
              <w:spacing w:after="0"/>
              <w:rPr>
                <w:sz w:val="20"/>
                <w:szCs w:val="20"/>
                <w:color w:val="auto"/>
              </w:rPr>
            </w:pPr>
            <w:r>
              <w:rPr>
                <w:rFonts w:ascii="Arial" w:cs="Arial" w:eastAsia="Arial" w:hAnsi="Arial"/>
                <w:sz w:val="18"/>
                <w:szCs w:val="18"/>
                <w:color w:val="auto"/>
              </w:rPr>
              <w:t>Contract liabilities - current</w:t>
            </w:r>
          </w:p>
        </w:tc>
        <w:tc>
          <w:tcPr>
            <w:tcW w:w="3800" w:type="dxa"/>
            <w:vAlign w:val="bottom"/>
          </w:tcPr>
          <w:p>
            <w:pPr>
              <w:ind w:left="760"/>
              <w:spacing w:after="0"/>
              <w:rPr>
                <w:sz w:val="20"/>
                <w:szCs w:val="20"/>
                <w:color w:val="auto"/>
              </w:rPr>
            </w:pPr>
            <w:r>
              <w:rPr>
                <w:rFonts w:ascii="Arial" w:cs="Arial" w:eastAsia="Arial" w:hAnsi="Arial"/>
                <w:sz w:val="18"/>
                <w:szCs w:val="18"/>
                <w:color w:val="auto"/>
              </w:rPr>
              <w:t>Other accrued liabilities</w:t>
            </w:r>
          </w:p>
        </w:tc>
        <w:tc>
          <w:tcPr>
            <w:tcW w:w="12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2A4C9B"/>
              </w:rPr>
              <w:t>34</w:t>
            </w: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w:t>
            </w:r>
          </w:p>
        </w:tc>
      </w:tr>
      <w:tr>
        <w:trPr>
          <w:trHeight w:val="277"/>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 - non-current</w:t>
            </w:r>
          </w:p>
        </w:tc>
        <w:tc>
          <w:tcPr>
            <w:tcW w:w="3800" w:type="dxa"/>
            <w:vAlign w:val="bottom"/>
            <w:shd w:val="clear" w:color="auto" w:fill="CFF0FC"/>
          </w:tcPr>
          <w:p>
            <w:pPr>
              <w:ind w:left="760"/>
              <w:spacing w:after="0"/>
              <w:rPr>
                <w:sz w:val="20"/>
                <w:szCs w:val="20"/>
                <w:color w:val="auto"/>
              </w:rPr>
            </w:pPr>
            <w:r>
              <w:rPr>
                <w:rFonts w:ascii="Arial" w:cs="Arial" w:eastAsia="Arial" w:hAnsi="Arial"/>
                <w:sz w:val="18"/>
                <w:szCs w:val="18"/>
                <w:color w:val="auto"/>
              </w:rPr>
              <w:t>Other long-term liabilities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r>
    </w:tbl>
    <w:p>
      <w:pPr>
        <w:spacing w:after="0" w:line="7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cumulative effect of the changes made to the Company's opening balance sheet at February 3, 2018 from the modified retrospective adoption of ASC 606.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of allowance for doubtful accounts of $2 million and $1 million as of February 1, 2019 and February 3, 2018, respectively.</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changes in the Company's contract assets and contract liabilities during the current period primarily results from the acquisition of Engility in fiscal 2019 and timing differences between the Company's performance, invoicing and customer payments. During the twelve months ended February 1, 2019, the Company recognized revenues of $10 million relating to amounts that were included in the opening balance of contract liabilities as of February 3,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Costs</w:t>
      </w:r>
    </w:p>
    <w:p>
      <w:pPr>
        <w:spacing w:after="0" w:line="207"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Certain eligible costs, typically incurred during the initial phases of our service contracts, are capitalized when the costs relate directly to the contract, are expected to be recovered, and generate or enhance resources to be used in satisfying the performance obligation. These costs primarily consist of transition and set-up costs. Capitalized fulfillment costs are amortized on a straight-line basis over the expected period of benefit, which generally includes the contract base period and anticipated renewals.</w:t>
      </w:r>
    </w:p>
    <w:p>
      <w:pPr>
        <w:spacing w:after="0" w:line="16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Company defers fulfillment costs incurred to transfer service to a customer prior to the establishment of a contract provided recovery is probable. These pre-contract costs are typically expensed upon contract award unless they are eligible for capitalization.</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performs periodic reviews to assess the recoverability of deferred contract transition and setup costs. The carrying amount of the asset is compared to the remaining amount of consideration the Company expects to receive for the services to which the asset relates, less the costs that relate directly to providing those services that have not yet been recognized. If the carrying amount is not recoverable, an impairment loss is recognized.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Deferred costs for the periods presented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2B4C9B"/>
              </w:rPr>
              <w:t>February 1,</w:t>
            </w:r>
          </w:p>
        </w:tc>
        <w:tc>
          <w:tcPr>
            <w:tcW w:w="3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color w:val="auto"/>
              </w:rPr>
              <w:t>February 3,</w:t>
            </w:r>
          </w:p>
        </w:tc>
      </w:tr>
      <w:tr>
        <w:trPr>
          <w:trHeight w:val="202"/>
        </w:trPr>
        <w:tc>
          <w:tcPr>
            <w:tcW w:w="3800" w:type="dxa"/>
            <w:vAlign w:val="bottom"/>
            <w:tcBorders>
              <w:bottom w:val="single" w:sz="8" w:color="2B4C9B"/>
            </w:tcBorders>
          </w:tcPr>
          <w:p>
            <w:pPr>
              <w:spacing w:after="0"/>
              <w:rPr>
                <w:sz w:val="17"/>
                <w:szCs w:val="17"/>
                <w:color w:val="auto"/>
              </w:rPr>
            </w:pPr>
          </w:p>
        </w:tc>
        <w:tc>
          <w:tcPr>
            <w:tcW w:w="4000" w:type="dxa"/>
            <w:vAlign w:val="bottom"/>
            <w:tcBorders>
              <w:bottom w:val="single" w:sz="8" w:color="2B4C9B"/>
            </w:tcBorders>
          </w:tcPr>
          <w:p>
            <w:pPr>
              <w:ind w:left="1140"/>
              <w:spacing w:after="0"/>
              <w:rPr>
                <w:sz w:val="20"/>
                <w:szCs w:val="20"/>
                <w:color w:val="auto"/>
              </w:rPr>
            </w:pPr>
            <w:r>
              <w:rPr>
                <w:rFonts w:ascii="Arial" w:cs="Arial" w:eastAsia="Arial" w:hAnsi="Arial"/>
                <w:sz w:val="14"/>
                <w:szCs w:val="14"/>
                <w:color w:val="auto"/>
              </w:rPr>
              <w:t>Balance Sheet line item</w:t>
            </w:r>
          </w:p>
        </w:tc>
        <w:tc>
          <w:tcPr>
            <w:tcW w:w="140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b w:val="1"/>
                <w:bCs w:val="1"/>
                <w:color w:val="2B4C9B"/>
              </w:rPr>
              <w:t>2019</w:t>
            </w:r>
          </w:p>
        </w:tc>
        <w:tc>
          <w:tcPr>
            <w:tcW w:w="30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17"/>
              <w:spacing w:after="0"/>
              <w:rPr>
                <w:sz w:val="20"/>
                <w:szCs w:val="20"/>
                <w:color w:val="auto"/>
              </w:rPr>
            </w:pPr>
            <w:r>
              <w:rPr>
                <w:rFonts w:ascii="Arial" w:cs="Arial" w:eastAsia="Arial" w:hAnsi="Arial"/>
                <w:sz w:val="14"/>
                <w:szCs w:val="14"/>
                <w:color w:val="auto"/>
              </w:rPr>
              <w:t>2018</w:t>
            </w:r>
            <w:r>
              <w:rPr>
                <w:rFonts w:ascii="Arial" w:cs="Arial" w:eastAsia="Arial" w:hAnsi="Arial"/>
                <w:sz w:val="17"/>
                <w:szCs w:val="17"/>
                <w:color w:val="auto"/>
                <w:vertAlign w:val="superscript"/>
              </w:rPr>
              <w:t>(1)</w:t>
            </w:r>
          </w:p>
        </w:tc>
      </w:tr>
      <w:tr>
        <w:trPr>
          <w:trHeight w:val="258"/>
        </w:trPr>
        <w:tc>
          <w:tcPr>
            <w:tcW w:w="38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20" w:type="dxa"/>
            <w:vAlign w:val="bottom"/>
            <w:gridSpan w:val="3"/>
          </w:tcPr>
          <w:p>
            <w:pPr>
              <w:jc w:val="right"/>
              <w:ind w:right="737"/>
              <w:spacing w:after="0"/>
              <w:rPr>
                <w:sz w:val="20"/>
                <w:szCs w:val="20"/>
                <w:color w:val="auto"/>
              </w:rPr>
            </w:pPr>
            <w:r>
              <w:rPr>
                <w:rFonts w:ascii="Arial" w:cs="Arial" w:eastAsia="Arial" w:hAnsi="Arial"/>
                <w:sz w:val="14"/>
                <w:szCs w:val="14"/>
                <w:color w:val="auto"/>
              </w:rPr>
              <w:t>(in millions)</w:t>
            </w:r>
          </w:p>
        </w:tc>
      </w:tr>
      <w:tr>
        <w:trPr>
          <w:trHeight w:val="276"/>
        </w:trPr>
        <w:tc>
          <w:tcPr>
            <w:tcW w:w="3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Pre-contract costs</w:t>
            </w:r>
          </w:p>
        </w:tc>
        <w:tc>
          <w:tcPr>
            <w:tcW w:w="400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Other current assets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2A4C9B"/>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w:t>
            </w:r>
          </w:p>
        </w:tc>
      </w:tr>
      <w:tr>
        <w:trPr>
          <w:trHeight w:val="263"/>
        </w:trPr>
        <w:tc>
          <w:tcPr>
            <w:tcW w:w="3800" w:type="dxa"/>
            <w:vAlign w:val="bottom"/>
          </w:tcPr>
          <w:p>
            <w:pPr>
              <w:ind w:left="280"/>
              <w:spacing w:after="0"/>
              <w:rPr>
                <w:sz w:val="20"/>
                <w:szCs w:val="20"/>
                <w:color w:val="auto"/>
              </w:rPr>
            </w:pPr>
            <w:r>
              <w:rPr>
                <w:rFonts w:ascii="Arial" w:cs="Arial" w:eastAsia="Arial" w:hAnsi="Arial"/>
                <w:sz w:val="18"/>
                <w:szCs w:val="18"/>
                <w:color w:val="auto"/>
              </w:rPr>
              <w:t>Fulfillment costs - current</w:t>
            </w:r>
          </w:p>
        </w:tc>
        <w:tc>
          <w:tcPr>
            <w:tcW w:w="4000" w:type="dxa"/>
            <w:vAlign w:val="bottom"/>
          </w:tcPr>
          <w:p>
            <w:pPr>
              <w:ind w:left="1140"/>
              <w:spacing w:after="0"/>
              <w:rPr>
                <w:sz w:val="20"/>
                <w:szCs w:val="20"/>
                <w:color w:val="auto"/>
              </w:rPr>
            </w:pPr>
            <w:r>
              <w:rPr>
                <w:rFonts w:ascii="Arial" w:cs="Arial" w:eastAsia="Arial" w:hAnsi="Arial"/>
                <w:sz w:val="18"/>
                <w:szCs w:val="18"/>
                <w:color w:val="auto"/>
              </w:rPr>
              <w:t>Other current assets</w:t>
            </w:r>
          </w:p>
        </w:tc>
        <w:tc>
          <w:tcPr>
            <w:tcW w:w="14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2A4C9B"/>
              </w:rPr>
              <w:t>—</w:t>
            </w:r>
          </w:p>
        </w:tc>
        <w:tc>
          <w:tcPr>
            <w:tcW w:w="3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w:t>
            </w:r>
          </w:p>
        </w:tc>
      </w:tr>
      <w:tr>
        <w:trPr>
          <w:trHeight w:val="277"/>
        </w:trPr>
        <w:tc>
          <w:tcPr>
            <w:tcW w:w="3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Fulfillment costs - non-current</w:t>
            </w:r>
          </w:p>
        </w:tc>
        <w:tc>
          <w:tcPr>
            <w:tcW w:w="400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2A4C9B"/>
              </w:rPr>
              <w:t>13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r>
    </w:tbl>
    <w:p>
      <w:pPr>
        <w:spacing w:after="0" w:line="7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cumulative effect of the changes made to the Company's opening balance sheet at February 3, 2018 from the modified retrospective adoption of ASC 606.</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Pre-contract costs of $ 15 million were expensed during the twelve months ended February 1, 2019, which includes $10 million for a contract that was not awarded. Fulfillment costs of $5 million were amortized during the twelve months ended February 1, 2019.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F-22</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Remaining Performance Obligations</w:t>
      </w:r>
    </w:p>
    <w:p>
      <w:pPr>
        <w:spacing w:after="0" w:line="20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As of February 1, 2019, the Company had $3.8 billion of remaining performance obligations. Remaining performance obligations exclude any variable consideration that is allocated entirely to unsatisfied performance obligations on our supply chain contracts. The Company expects to recognize revenue on approximately 80% of the remaining performance obligations over the next 12 months and approximately 90% over the next 24 months, with the remaining recognized thereafter.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4 —Engility Acquisition:</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January 14, 2019, the Company completed the acquisition of Engility Holdings, Inc., a leading provider of integrated solutions and services supporting U.S. government customers in the defense, federal civilian, and intelligence and space communities. This strategic acquisition enables greater market and customer access, particularly in the intelligence and space communities, and enhances the Company's portfolio of capabilities, particularly in the area of systems engineering and integration. The acquisition enables acceleration of revenue growth through increased market and customer access, increased investment capacity, addition of cleared personnel and strategic alignment with key customers. The acquisition also enables increased profitability and cash generation with an improved margin profile and greater financial flexibility for investment and capital deployment.</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acquisition was funded through a combination of SAIC common stock and additional borrowings. At the effective time of the acquisition, each outstanding share of Engility common stock was automatically canceled and converted into the right to receive 0.45 shares of the SAIC common stock. The Company amended its existing credit agreement to provide for a new five-year senior secured $1.1 billion term loan facility, as discussed in Note 10. SAIC borrowed the entire amount of the term loan facility, the proceeds of which were immediately used to repay Engility’s existing credit facility and outstanding notes and to pay fees and expenses associated with the acquisition, with the balance retained by SAIC to be used for general corporate purposes.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for the acquisition of Engility was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120" w:type="dxa"/>
            <w:vAlign w:val="bottom"/>
            <w:tcBorders>
              <w:bottom w:val="single" w:sz="8" w:color="2B4C9B"/>
            </w:tcBorders>
          </w:tcPr>
          <w:p>
            <w:pPr>
              <w:spacing w:after="0"/>
              <w:rPr>
                <w:sz w:val="15"/>
                <w:szCs w:val="15"/>
                <w:color w:val="auto"/>
              </w:rPr>
            </w:pPr>
          </w:p>
        </w:tc>
        <w:tc>
          <w:tcPr>
            <w:tcW w:w="2800" w:type="dxa"/>
            <w:vAlign w:val="bottom"/>
            <w:tcBorders>
              <w:bottom w:val="single" w:sz="8" w:color="2B4C9B"/>
            </w:tcBorders>
          </w:tcPr>
          <w:p>
            <w:pPr>
              <w:spacing w:after="0"/>
              <w:rPr>
                <w:sz w:val="15"/>
                <w:szCs w:val="15"/>
                <w:color w:val="auto"/>
              </w:rPr>
            </w:pPr>
          </w:p>
        </w:tc>
        <w:tc>
          <w:tcPr>
            <w:tcW w:w="144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(in millions)</w:t>
            </w:r>
          </w:p>
        </w:tc>
      </w:tr>
      <w:tr>
        <w:trPr>
          <w:trHeight w:val="25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issued to Engility shareholders</w:t>
            </w:r>
            <w:r>
              <w:rPr>
                <w:rFonts w:ascii="Arial" w:cs="Arial" w:eastAsia="Arial" w:hAnsi="Arial"/>
                <w:sz w:val="21"/>
                <w:szCs w:val="21"/>
                <w:color w:val="auto"/>
                <w:vertAlign w:val="superscript"/>
              </w:rPr>
              <w:t>(1)</w:t>
            </w:r>
          </w:p>
        </w:tc>
        <w:tc>
          <w:tcPr>
            <w:tcW w:w="28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1,086</w:t>
            </w:r>
          </w:p>
        </w:tc>
      </w:tr>
      <w:tr>
        <w:trPr>
          <w:trHeight w:val="257"/>
        </w:trPr>
        <w:tc>
          <w:tcPr>
            <w:tcW w:w="7120" w:type="dxa"/>
            <w:vAlign w:val="bottom"/>
          </w:tcPr>
          <w:p>
            <w:pPr>
              <w:ind w:left="20"/>
              <w:spacing w:after="0"/>
              <w:rPr>
                <w:sz w:val="20"/>
                <w:szCs w:val="20"/>
                <w:color w:val="auto"/>
              </w:rPr>
            </w:pPr>
            <w:r>
              <w:rPr>
                <w:rFonts w:ascii="Arial" w:cs="Arial" w:eastAsia="Arial" w:hAnsi="Arial"/>
                <w:sz w:val="18"/>
                <w:szCs w:val="18"/>
                <w:color w:val="auto"/>
              </w:rPr>
              <w:t>Converted vesting stock awards assumed</w:t>
            </w:r>
            <w:r>
              <w:rPr>
                <w:rFonts w:ascii="Arial" w:cs="Arial" w:eastAsia="Arial" w:hAnsi="Arial"/>
                <w:sz w:val="21"/>
                <w:szCs w:val="21"/>
                <w:color w:val="auto"/>
                <w:vertAlign w:val="superscript"/>
              </w:rPr>
              <w:t>(2)</w:t>
            </w:r>
          </w:p>
        </w:tc>
        <w:tc>
          <w:tcPr>
            <w:tcW w:w="280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w:t>
            </w:r>
          </w:p>
        </w:tc>
      </w:tr>
      <w:tr>
        <w:trPr>
          <w:trHeight w:val="250"/>
        </w:trPr>
        <w:tc>
          <w:tcPr>
            <w:tcW w:w="71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Cash consideration paid to extinguish Engility outstanding debt</w:t>
            </w:r>
          </w:p>
        </w:tc>
        <w:tc>
          <w:tcPr>
            <w:tcW w:w="2800" w:type="dxa"/>
            <w:vAlign w:val="bottom"/>
            <w:tcBorders>
              <w:bottom w:val="single" w:sz="8" w:color="2B4C9B"/>
            </w:tcBorders>
            <w:shd w:val="clear" w:color="auto" w:fill="CFF0FC"/>
          </w:tcPr>
          <w:p>
            <w:pPr>
              <w:spacing w:after="0"/>
              <w:rPr>
                <w:sz w:val="21"/>
                <w:szCs w:val="21"/>
                <w:color w:val="auto"/>
              </w:rPr>
            </w:pPr>
          </w:p>
        </w:tc>
        <w:tc>
          <w:tcPr>
            <w:tcW w:w="144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1,052</w:t>
            </w:r>
          </w:p>
        </w:tc>
      </w:tr>
      <w:tr>
        <w:trPr>
          <w:trHeight w:val="264"/>
        </w:trPr>
        <w:tc>
          <w:tcPr>
            <w:tcW w:w="71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Purchase price</w:t>
            </w:r>
          </w:p>
        </w:tc>
        <w:tc>
          <w:tcPr>
            <w:tcW w:w="2800" w:type="dxa"/>
            <w:vAlign w:val="bottom"/>
            <w:tcBorders>
              <w:bottom w:val="single" w:sz="8" w:color="2B4C9B"/>
            </w:tcBorders>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2,160</w:t>
            </w:r>
          </w:p>
        </w:tc>
      </w:tr>
    </w:tbl>
    <w:p>
      <w:pPr>
        <w:spacing w:after="0" w:line="150" w:lineRule="exact"/>
        <w:rPr>
          <w:sz w:val="20"/>
          <w:szCs w:val="20"/>
          <w:color w:val="auto"/>
        </w:rPr>
      </w:pPr>
    </w:p>
    <w:p>
      <w:pPr>
        <w:ind w:left="500" w:right="240" w:hanging="492"/>
        <w:spacing w:after="0" w:line="225"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approximately 16.8 million new shares of SAIC common stock issued to Engility shareholders prior to the market opening on January 14, 2019, using the SAIC share price of $65.03 at the close of business on January 11, 2019.</w:t>
      </w:r>
    </w:p>
    <w:p>
      <w:pPr>
        <w:spacing w:after="0" w:line="9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the fair value of the converted vesting stock awards assumed attributable to pre-acquisition service. See Note 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F-23</w:t>
      </w:r>
    </w:p>
    <w:p>
      <w:pPr>
        <w:sectPr>
          <w:pgSz w:w="11900" w:h="16838" w:orient="portrait"/>
          <w:cols w:equalWidth="0" w:num="1">
            <w:col w:w="11400"/>
          </w:cols>
          <w:pgMar w:left="240" w:top="141" w:right="259" w:bottom="1440" w:gutter="0" w:footer="0" w:header="0"/>
        </w:sectPr>
      </w:pPr>
    </w:p>
    <w:bookmarkStart w:id="69" w:name="page70"/>
    <w:bookmarkEnd w:id="6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purchase price was allocated, on a preliminary basis, among assets acquired and liabilities assumed at fair value on the acquisition date, January 14, 2019, based on the best available information, with the excess purchase price recorded as goodwill. As of February 1, 2019, the Company had not finalized the determination of fair values allocated to various assets and liabilities, including, but not limited to, receivables, other current assets, deferred tax assets, property, plant, and equipment, other accrued liabilities and goodwill. The allocation of the purchase price is subject to change as the Company continues to obtain and assess relevant information that existed as of the acquisition date, including but not limited to, information pertaining to Engility’s historical government compliance accounting practices, legal proceedings, reserves, income taxes, contracts with customers, and pre-acquisition contingencies. The Company expects to have sufficient information available to resolve these items by the fourth quarter of fiscal 2020, which could potentially result in changes in assets or liabilities on Engility’s opening balance sheet and an adjustment to goodwill. The purchase accounting entries were recorded on a preliminary basis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Borders>
              <w:bottom w:val="single" w:sz="8" w:color="2B4C9B"/>
            </w:tcBorders>
          </w:tcPr>
          <w:p>
            <w:pPr>
              <w:spacing w:after="0"/>
              <w:rPr>
                <w:sz w:val="15"/>
                <w:szCs w:val="15"/>
                <w:color w:val="auto"/>
              </w:rPr>
            </w:pPr>
          </w:p>
        </w:tc>
        <w:tc>
          <w:tcPr>
            <w:tcW w:w="3540" w:type="dxa"/>
            <w:vAlign w:val="bottom"/>
            <w:tcBorders>
              <w:bottom w:val="single" w:sz="8" w:color="2B4C9B"/>
            </w:tcBorders>
          </w:tcPr>
          <w:p>
            <w:pPr>
              <w:spacing w:after="0"/>
              <w:rPr>
                <w:sz w:val="15"/>
                <w:szCs w:val="15"/>
                <w:color w:val="auto"/>
              </w:rPr>
            </w:pPr>
          </w:p>
        </w:tc>
        <w:tc>
          <w:tcPr>
            <w:tcW w:w="144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(in millions)</w:t>
            </w:r>
          </w:p>
        </w:tc>
      </w:tr>
      <w:tr>
        <w:trPr>
          <w:trHeight w:val="256"/>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354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51</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Inventories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current assets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tax assets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91</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Intangible assets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648</w:t>
            </w:r>
          </w:p>
        </w:tc>
      </w:tr>
      <w:tr>
        <w:trPr>
          <w:trHeight w:val="250"/>
        </w:trPr>
        <w:tc>
          <w:tcPr>
            <w:tcW w:w="64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Goodwill</w:t>
            </w:r>
          </w:p>
        </w:tc>
        <w:tc>
          <w:tcPr>
            <w:tcW w:w="3540" w:type="dxa"/>
            <w:vAlign w:val="bottom"/>
            <w:tcBorders>
              <w:bottom w:val="single" w:sz="8" w:color="2B4C9B"/>
            </w:tcBorders>
          </w:tcPr>
          <w:p>
            <w:pPr>
              <w:spacing w:after="0"/>
              <w:rPr>
                <w:sz w:val="21"/>
                <w:szCs w:val="21"/>
                <w:color w:val="auto"/>
              </w:rPr>
            </w:pPr>
          </w:p>
        </w:tc>
        <w:tc>
          <w:tcPr>
            <w:tcW w:w="144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1,257</w:t>
            </w:r>
          </w:p>
        </w:tc>
      </w:tr>
      <w:tr>
        <w:trPr>
          <w:trHeight w:val="257"/>
        </w:trPr>
        <w:tc>
          <w:tcPr>
            <w:tcW w:w="6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assets acquired</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2,469</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payroll and other employee benefits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30</w:t>
            </w:r>
          </w:p>
        </w:tc>
      </w:tr>
      <w:tr>
        <w:trPr>
          <w:trHeight w:val="250"/>
        </w:trPr>
        <w:tc>
          <w:tcPr>
            <w:tcW w:w="6440" w:type="dxa"/>
            <w:vAlign w:val="bottom"/>
          </w:tcPr>
          <w:p>
            <w:pPr>
              <w:ind w:left="40"/>
              <w:spacing w:after="0"/>
              <w:rPr>
                <w:sz w:val="20"/>
                <w:szCs w:val="20"/>
                <w:color w:val="auto"/>
              </w:rPr>
            </w:pPr>
            <w:r>
              <w:rPr>
                <w:rFonts w:ascii="Arial" w:cs="Arial" w:eastAsia="Arial" w:hAnsi="Arial"/>
                <w:sz w:val="18"/>
                <w:szCs w:val="18"/>
                <w:color w:val="auto"/>
              </w:rPr>
              <w:t>Accrued vacation</w:t>
            </w:r>
          </w:p>
        </w:tc>
        <w:tc>
          <w:tcPr>
            <w:tcW w:w="35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6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accrued liabilities</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58</w:t>
            </w:r>
          </w:p>
        </w:tc>
      </w:tr>
      <w:tr>
        <w:trPr>
          <w:trHeight w:val="250"/>
        </w:trPr>
        <w:tc>
          <w:tcPr>
            <w:tcW w:w="64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long-term liabilities</w:t>
            </w:r>
          </w:p>
        </w:tc>
        <w:tc>
          <w:tcPr>
            <w:tcW w:w="3540" w:type="dxa"/>
            <w:vAlign w:val="bottom"/>
            <w:tcBorders>
              <w:bottom w:val="single" w:sz="8" w:color="2B4C9B"/>
            </w:tcBorders>
          </w:tcPr>
          <w:p>
            <w:pPr>
              <w:spacing w:after="0"/>
              <w:rPr>
                <w:sz w:val="21"/>
                <w:szCs w:val="21"/>
                <w:color w:val="auto"/>
              </w:rPr>
            </w:pPr>
          </w:p>
        </w:tc>
        <w:tc>
          <w:tcPr>
            <w:tcW w:w="144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257"/>
        </w:trPr>
        <w:tc>
          <w:tcPr>
            <w:tcW w:w="6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liabilities assumed</w:t>
            </w:r>
          </w:p>
        </w:tc>
        <w:tc>
          <w:tcPr>
            <w:tcW w:w="35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296</w:t>
            </w:r>
          </w:p>
        </w:tc>
      </w:tr>
      <w:tr>
        <w:trPr>
          <w:trHeight w:val="250"/>
        </w:trPr>
        <w:tc>
          <w:tcPr>
            <w:tcW w:w="64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Non-controlling interest</w:t>
            </w:r>
          </w:p>
        </w:tc>
        <w:tc>
          <w:tcPr>
            <w:tcW w:w="3540" w:type="dxa"/>
            <w:vAlign w:val="bottom"/>
            <w:tcBorders>
              <w:bottom w:val="single" w:sz="8" w:color="2B4C9B"/>
            </w:tcBorders>
          </w:tcPr>
          <w:p>
            <w:pPr>
              <w:spacing w:after="0"/>
              <w:rPr>
                <w:sz w:val="21"/>
                <w:szCs w:val="21"/>
                <w:color w:val="auto"/>
              </w:rPr>
            </w:pPr>
          </w:p>
        </w:tc>
        <w:tc>
          <w:tcPr>
            <w:tcW w:w="144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64"/>
        </w:trPr>
        <w:tc>
          <w:tcPr>
            <w:tcW w:w="64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assets acquired</w:t>
            </w:r>
          </w:p>
        </w:tc>
        <w:tc>
          <w:tcPr>
            <w:tcW w:w="3540" w:type="dxa"/>
            <w:vAlign w:val="bottom"/>
            <w:tcBorders>
              <w:bottom w:val="single" w:sz="8" w:color="2B4C9B"/>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2,160</w:t>
            </w:r>
          </w:p>
        </w:tc>
      </w:tr>
      <w:tr>
        <w:trPr>
          <w:trHeight w:val="264"/>
        </w:trPr>
        <w:tc>
          <w:tcPr>
            <w:tcW w:w="64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Amount of tax deductible goodwill</w:t>
            </w:r>
          </w:p>
        </w:tc>
        <w:tc>
          <w:tcPr>
            <w:tcW w:w="3540" w:type="dxa"/>
            <w:vAlign w:val="bottom"/>
            <w:tcBorders>
              <w:bottom w:val="single" w:sz="8" w:color="2B4C9B"/>
            </w:tcBorders>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441</w:t>
            </w:r>
          </w:p>
        </w:tc>
      </w:tr>
    </w:tbl>
    <w:p>
      <w:pPr>
        <w:spacing w:after="0" w:line="17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Goodwill represents intellectual capital and an acquired assembled work force. The Company inherited Engility’s historical tax basis in deductible goodwill, certain other intangible assets, and net operating loss carryforwards.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intangible assets and the related weighted average useful lives: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Borders>
              <w:bottom w:val="single" w:sz="8" w:color="2B4C9B"/>
            </w:tcBorders>
          </w:tcPr>
          <w:p>
            <w:pPr>
              <w:spacing w:after="0"/>
              <w:rPr>
                <w:sz w:val="15"/>
                <w:szCs w:val="15"/>
                <w:color w:val="auto"/>
              </w:rPr>
            </w:pPr>
          </w:p>
        </w:tc>
        <w:tc>
          <w:tcPr>
            <w:tcW w:w="27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356"/>
              <w:spacing w:after="0"/>
              <w:rPr>
                <w:sz w:val="20"/>
                <w:szCs w:val="20"/>
                <w:color w:val="auto"/>
              </w:rPr>
            </w:pPr>
            <w:r>
              <w:rPr>
                <w:rFonts w:ascii="Arial" w:cs="Arial" w:eastAsia="Arial" w:hAnsi="Arial"/>
                <w:sz w:val="14"/>
                <w:szCs w:val="14"/>
                <w:color w:val="auto"/>
              </w:rPr>
              <w:t>Amount</w:t>
            </w:r>
          </w:p>
        </w:tc>
        <w:tc>
          <w:tcPr>
            <w:tcW w:w="29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Weighted-Average Amortization Period</w:t>
            </w:r>
          </w:p>
        </w:tc>
      </w:tr>
      <w:tr>
        <w:trPr>
          <w:trHeight w:val="264"/>
        </w:trPr>
        <w:tc>
          <w:tcPr>
            <w:tcW w:w="44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260" w:type="dxa"/>
            <w:vAlign w:val="bottom"/>
          </w:tcPr>
          <w:p>
            <w:pPr>
              <w:jc w:val="right"/>
              <w:ind w:right="356"/>
              <w:spacing w:after="0"/>
              <w:rPr>
                <w:sz w:val="20"/>
                <w:szCs w:val="20"/>
                <w:color w:val="auto"/>
              </w:rPr>
            </w:pPr>
            <w:r>
              <w:rPr>
                <w:rFonts w:ascii="Arial" w:cs="Arial" w:eastAsia="Arial" w:hAnsi="Arial"/>
                <w:sz w:val="14"/>
                <w:szCs w:val="14"/>
                <w:color w:val="auto"/>
              </w:rPr>
              <w:t>(in millions)</w:t>
            </w:r>
          </w:p>
        </w:tc>
        <w:tc>
          <w:tcPr>
            <w:tcW w:w="2960" w:type="dxa"/>
            <w:vAlign w:val="bottom"/>
          </w:tcPr>
          <w:p>
            <w:pPr>
              <w:jc w:val="right"/>
              <w:spacing w:after="0"/>
              <w:rPr>
                <w:sz w:val="20"/>
                <w:szCs w:val="20"/>
                <w:color w:val="auto"/>
              </w:rPr>
            </w:pPr>
            <w:r>
              <w:rPr>
                <w:rFonts w:ascii="Arial" w:cs="Arial" w:eastAsia="Arial" w:hAnsi="Arial"/>
                <w:sz w:val="14"/>
                <w:szCs w:val="14"/>
                <w:color w:val="auto"/>
              </w:rPr>
              <w:t>(in years)</w:t>
            </w:r>
          </w:p>
        </w:tc>
      </w:tr>
      <w:tr>
        <w:trPr>
          <w:trHeight w:val="276"/>
        </w:trPr>
        <w:tc>
          <w:tcPr>
            <w:tcW w:w="4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Backlog</w:t>
            </w:r>
          </w:p>
        </w:tc>
        <w:tc>
          <w:tcPr>
            <w:tcW w:w="2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30</w:t>
            </w:r>
          </w:p>
        </w:tc>
        <w:tc>
          <w:tcPr>
            <w:tcW w:w="2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4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720" w:type="dxa"/>
            <w:vAlign w:val="bottom"/>
          </w:tcPr>
          <w:p>
            <w:pPr>
              <w:spacing w:after="0"/>
              <w:rPr>
                <w:sz w:val="22"/>
                <w:szCs w:val="22"/>
                <w:color w:val="auto"/>
              </w:rPr>
            </w:pPr>
          </w:p>
        </w:tc>
        <w:tc>
          <w:tcPr>
            <w:tcW w:w="1260" w:type="dxa"/>
            <w:vAlign w:val="bottom"/>
          </w:tcPr>
          <w:p>
            <w:pPr>
              <w:jc w:val="right"/>
              <w:ind w:right="356"/>
              <w:spacing w:after="0"/>
              <w:rPr>
                <w:sz w:val="20"/>
                <w:szCs w:val="20"/>
                <w:color w:val="auto"/>
              </w:rPr>
            </w:pPr>
            <w:r>
              <w:rPr>
                <w:rFonts w:ascii="Arial" w:cs="Arial" w:eastAsia="Arial" w:hAnsi="Arial"/>
                <w:sz w:val="18"/>
                <w:szCs w:val="18"/>
                <w:color w:val="auto"/>
              </w:rPr>
              <w:t>2</w:t>
            </w:r>
          </w:p>
        </w:tc>
        <w:tc>
          <w:tcPr>
            <w:tcW w:w="2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4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Customer relationships</w:t>
            </w:r>
          </w:p>
        </w:tc>
        <w:tc>
          <w:tcPr>
            <w:tcW w:w="2720" w:type="dxa"/>
            <w:vAlign w:val="bottom"/>
            <w:tcBorders>
              <w:bottom w:val="single" w:sz="8" w:color="2B4C9B"/>
            </w:tcBorders>
            <w:shd w:val="clear" w:color="auto" w:fill="CFF0FC"/>
          </w:tcPr>
          <w:p>
            <w:pPr>
              <w:spacing w:after="0"/>
              <w:rPr>
                <w:sz w:val="23"/>
                <w:szCs w:val="23"/>
                <w:color w:val="auto"/>
              </w:rPr>
            </w:pPr>
          </w:p>
        </w:tc>
        <w:tc>
          <w:tcPr>
            <w:tcW w:w="1260" w:type="dxa"/>
            <w:vAlign w:val="bottom"/>
            <w:tcBorders>
              <w:bottom w:val="single" w:sz="8" w:color="2B4C9B"/>
            </w:tcBorders>
            <w:shd w:val="clear" w:color="auto" w:fill="CFF0FC"/>
          </w:tcPr>
          <w:p>
            <w:pPr>
              <w:jc w:val="right"/>
              <w:ind w:right="356"/>
              <w:spacing w:after="0"/>
              <w:rPr>
                <w:sz w:val="20"/>
                <w:szCs w:val="20"/>
                <w:color w:val="auto"/>
              </w:rPr>
            </w:pPr>
            <w:r>
              <w:rPr>
                <w:rFonts w:ascii="Arial" w:cs="Arial" w:eastAsia="Arial" w:hAnsi="Arial"/>
                <w:sz w:val="18"/>
                <w:szCs w:val="18"/>
                <w:color w:val="auto"/>
              </w:rPr>
              <w:t>616</w:t>
            </w:r>
          </w:p>
        </w:tc>
        <w:tc>
          <w:tcPr>
            <w:tcW w:w="2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448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Total intangible assets</w:t>
            </w:r>
          </w:p>
        </w:tc>
        <w:tc>
          <w:tcPr>
            <w:tcW w:w="272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356"/>
              <w:spacing w:after="0"/>
              <w:rPr>
                <w:sz w:val="20"/>
                <w:szCs w:val="20"/>
                <w:color w:val="auto"/>
              </w:rPr>
            </w:pPr>
            <w:r>
              <w:rPr>
                <w:rFonts w:ascii="Arial" w:cs="Arial" w:eastAsia="Arial" w:hAnsi="Arial"/>
                <w:sz w:val="18"/>
                <w:szCs w:val="18"/>
                <w:color w:val="auto"/>
              </w:rPr>
              <w:t>648</w:t>
            </w:r>
          </w:p>
        </w:tc>
        <w:tc>
          <w:tcPr>
            <w:tcW w:w="2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13</w:t>
            </w:r>
          </w:p>
        </w:tc>
      </w:tr>
    </w:tbl>
    <w:p>
      <w:pPr>
        <w:spacing w:after="0" w:line="39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backlog intangible asset is comprised solely of funded backlog as of the acquisition date. The customer relationships intangible asset consists of unfunded backlog as of the acquisition date and estimated future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F-24</w:t>
      </w:r>
    </w:p>
    <w:p>
      <w:pPr>
        <w:sectPr>
          <w:pgSz w:w="11900" w:h="16838" w:orient="portrait"/>
          <w:cols w:equalWidth="0" w:num="1">
            <w:col w:w="11420"/>
          </w:cols>
          <w:pgMar w:left="240" w:top="141" w:right="239" w:bottom="1099" w:gutter="0" w:footer="0" w:header="0"/>
        </w:sectPr>
      </w:pPr>
    </w:p>
    <w:bookmarkStart w:id="70" w:name="page71"/>
    <w:bookmarkEnd w:id="7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renewals. The backlog and customer relationships intangible assets were valued using the excess earnings method (income approach) in which the value is derived from an estimation of the after-tax cash flows specifically attributable to backlog and customer relationships. The analysis included assumptions for projections of revenues and expenses, contributory asset charges, discount rates, and a tax amortization benefit.</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developed technology asset was valued using the relief from royalty method (income approach) in which the value is derived by estimation of the after-tax royalty savings attributable to owning the assets. Assumptions in this analysis included projections of revenues, royalty rates representing costs avoided due to ownership of the assets, discount rates, a tax amortization benefit, and future obsolescence of the technology.</w:t>
      </w:r>
    </w:p>
    <w:p>
      <w:pPr>
        <w:spacing w:after="0" w:line="16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incurred $118 million in costs associated with the acquisition and integration of Engility. The Company incurred $63 million in acquisition-related costs, including $31 million of debt issue costs, see Note 10, and $2 million in stock issue costs for fiscal 2019. During fiscal 2019, the Company recognized acquisition-related costs of $31 million and integration-related costs of $55 million, primarily for strategic consulting services, employee termination costs, including severance and the acceleration of assumed vesting stock awards, and other non-recurring integration-related costs, which are presented together as acquisition and integration costs of $86 million on the consolidated statements of income.</w:t>
      </w:r>
    </w:p>
    <w:p>
      <w:pPr>
        <w:spacing w:after="0" w:line="1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amount of Engility's revenue included in the consolidated statements of income for fiscal 2019 was $98 million and the amount of net loss included in the consolidated statements of income for fiscal 2019 was $19 million, which includes $32 million of integration-related costs.</w:t>
      </w:r>
    </w:p>
    <w:p>
      <w:pPr>
        <w:spacing w:after="0" w:line="15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for Engility and the Company for the year ended February 1, 2019 and February 2, 2018, respectively:</w:t>
      </w:r>
    </w:p>
    <w:p>
      <w:pPr>
        <w:spacing w:after="0" w:line="202"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85" w:lineRule="exact"/>
        <w:rPr>
          <w:sz w:val="20"/>
          <w:szCs w:val="20"/>
          <w:color w:val="auto"/>
        </w:rPr>
      </w:pPr>
    </w:p>
    <w:p>
      <w:pPr>
        <w:ind w:left="8360"/>
        <w:spacing w:after="0"/>
        <w:tabs>
          <w:tab w:leader="none" w:pos="10200" w:val="left"/>
        </w:tabs>
        <w:rPr>
          <w:sz w:val="20"/>
          <w:szCs w:val="20"/>
          <w:color w:val="auto"/>
        </w:rPr>
      </w:pPr>
      <w:r>
        <w:rPr>
          <w:rFonts w:ascii="Arial" w:cs="Arial" w:eastAsia="Arial" w:hAnsi="Arial"/>
          <w:sz w:val="14"/>
          <w:szCs w:val="14"/>
          <w:b w:val="1"/>
          <w:bCs w:val="1"/>
          <w:color w:val="2B4C9B"/>
        </w:rPr>
        <w:t>February 1, 2019</w:t>
      </w:r>
      <w:r>
        <w:rPr>
          <w:sz w:val="20"/>
          <w:szCs w:val="20"/>
          <w:color w:val="auto"/>
        </w:rPr>
        <w:tab/>
      </w:r>
      <w:r>
        <w:rPr>
          <w:rFonts w:ascii="Arial" w:cs="Arial" w:eastAsia="Arial" w:hAnsi="Arial"/>
          <w:sz w:val="14"/>
          <w:szCs w:val="14"/>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(in millions,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620" w:type="dxa"/>
            <w:vAlign w:val="bottom"/>
            <w:tcBorders>
              <w:bottom w:val="single" w:sz="8" w:color="2B4C9B"/>
            </w:tcBorders>
            <w:shd w:val="clear" w:color="auto" w:fill="CFF0FC"/>
          </w:tcPr>
          <w:p>
            <w:pPr>
              <w:jc w:val="right"/>
              <w:ind w:right="430"/>
              <w:spacing w:after="0"/>
              <w:rPr>
                <w:sz w:val="20"/>
                <w:szCs w:val="20"/>
                <w:color w:val="auto"/>
              </w:rPr>
            </w:pPr>
            <w:r>
              <w:rPr>
                <w:rFonts w:ascii="Arial" w:cs="Arial" w:eastAsia="Arial" w:hAnsi="Arial"/>
                <w:sz w:val="18"/>
                <w:szCs w:val="18"/>
                <w:b w:val="1"/>
                <w:bCs w:val="1"/>
                <w:color w:val="2B4C9B"/>
              </w:rPr>
              <w:t>$</w:t>
            </w:r>
          </w:p>
        </w:tc>
        <w:tc>
          <w:tcPr>
            <w:tcW w:w="110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rPr>
              <w:t>6,426</w:t>
            </w:r>
          </w:p>
        </w:tc>
        <w:tc>
          <w:tcPr>
            <w:tcW w:w="720" w:type="dxa"/>
            <w:vAlign w:val="bottom"/>
            <w:tcBorders>
              <w:bottom w:val="single" w:sz="8" w:color="2B4C9B"/>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6,352</w:t>
            </w:r>
          </w:p>
        </w:tc>
      </w:tr>
      <w:tr>
        <w:trPr>
          <w:trHeight w:val="252"/>
        </w:trPr>
        <w:tc>
          <w:tcPr>
            <w:tcW w:w="590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620" w:type="dxa"/>
            <w:vAlign w:val="bottom"/>
          </w:tcPr>
          <w:p>
            <w:pPr>
              <w:jc w:val="right"/>
              <w:ind w:right="430"/>
              <w:spacing w:after="0"/>
              <w:rPr>
                <w:sz w:val="20"/>
                <w:szCs w:val="20"/>
                <w:color w:val="auto"/>
              </w:rPr>
            </w:pPr>
            <w:r>
              <w:rPr>
                <w:rFonts w:ascii="Arial" w:cs="Arial" w:eastAsia="Arial" w:hAnsi="Arial"/>
                <w:sz w:val="18"/>
                <w:szCs w:val="18"/>
                <w:b w:val="1"/>
                <w:bCs w:val="1"/>
                <w:color w:val="2B4C9B"/>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2B4C9B"/>
              </w:rPr>
              <w:t>260</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w:t>
            </w:r>
          </w:p>
        </w:tc>
      </w:tr>
    </w:tbl>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unaudited pro forma, combined financial information presented above has been prepared from historical financial statements that have been adjusted to give effect to the acquisition of Engility as though it had occurred on February 4, 2017. They include adjustments for intangible asset amortization; interest expense and debt issuance costs on long-term debt; acquisition, integration, and other transaction costs; and the elimination of intercompany revenue and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5—Goodwill and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w:t>
      </w:r>
    </w:p>
    <w:p>
      <w:pPr>
        <w:spacing w:after="0" w:line="20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Goodwill had a carrying value of $2,120 million and $863 million as of February 1, 2019 and February 2, 2018, respectively. Goodwill increased by $1,257 million during fiscal 2019 due to the acquisition of Engility. There were no impairments of goodwill during the periods presented.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all of which were finite-lived,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F-25</w:t>
      </w:r>
    </w:p>
    <w:p>
      <w:pPr>
        <w:sectPr>
          <w:pgSz w:w="11900" w:h="16838" w:orient="portrait"/>
          <w:cols w:equalWidth="0" w:num="1">
            <w:col w:w="11420"/>
          </w:cols>
          <w:pgMar w:left="240" w:top="141" w:right="239" w:bottom="1440" w:gutter="0" w:footer="0" w:header="0"/>
        </w:sectPr>
      </w:pPr>
    </w:p>
    <w:bookmarkStart w:id="71" w:name="page72"/>
    <w:bookmarkEnd w:id="7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jc w:val="right"/>
              <w:ind w:right="116"/>
              <w:spacing w:after="0"/>
              <w:rPr>
                <w:sz w:val="20"/>
                <w:szCs w:val="20"/>
                <w:color w:val="auto"/>
              </w:rPr>
            </w:pPr>
            <w:r>
              <w:rPr>
                <w:rFonts w:ascii="Arial" w:cs="Arial" w:eastAsia="Arial" w:hAnsi="Arial"/>
                <w:sz w:val="14"/>
                <w:szCs w:val="14"/>
                <w:b w:val="1"/>
                <w:bCs w:val="1"/>
                <w:color w:val="2B4C9B"/>
              </w:rPr>
              <w:t>February 1, 2019</w:t>
            </w:r>
          </w:p>
        </w:tc>
        <w:tc>
          <w:tcPr>
            <w:tcW w:w="24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jc w:val="right"/>
              <w:ind w:right="136"/>
              <w:spacing w:after="0"/>
              <w:rPr>
                <w:sz w:val="20"/>
                <w:szCs w:val="20"/>
                <w:color w:val="auto"/>
              </w:rPr>
            </w:pPr>
            <w:r>
              <w:rPr>
                <w:rFonts w:ascii="Arial" w:cs="Arial" w:eastAsia="Arial" w:hAnsi="Arial"/>
                <w:sz w:val="14"/>
                <w:szCs w:val="14"/>
                <w:color w:val="auto"/>
              </w:rPr>
              <w:t>February 2, 2018</w:t>
            </w:r>
          </w:p>
        </w:tc>
        <w:tc>
          <w:tcPr>
            <w:tcW w:w="26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4"/>
                <w:szCs w:val="14"/>
                <w:b w:val="1"/>
                <w:bCs w:val="1"/>
                <w:color w:val="2B4C9B"/>
              </w:rPr>
              <w:t>Gross carrying</w:t>
            </w:r>
          </w:p>
        </w:tc>
        <w:tc>
          <w:tcPr>
            <w:tcW w:w="30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2B4C9B"/>
              </w:rPr>
              <w:t>Accumulated</w:t>
            </w:r>
          </w:p>
        </w:tc>
        <w:tc>
          <w:tcPr>
            <w:tcW w:w="2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2B4C9B"/>
              </w:rPr>
              <w:t>Net carrying</w:t>
            </w:r>
          </w:p>
        </w:tc>
        <w:tc>
          <w:tcPr>
            <w:tcW w:w="34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5"/>
                <w:szCs w:val="15"/>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color w:val="auto"/>
              </w:rPr>
              <w:t>Net carrying</w:t>
            </w:r>
          </w:p>
        </w:tc>
      </w:tr>
      <w:tr>
        <w:trPr>
          <w:trHeight w:val="196"/>
        </w:trPr>
        <w:tc>
          <w:tcPr>
            <w:tcW w:w="3280" w:type="dxa"/>
            <w:vAlign w:val="bottom"/>
            <w:tcBorders>
              <w:bottom w:val="single" w:sz="8" w:color="2B4C9B"/>
            </w:tcBorders>
          </w:tcPr>
          <w:p>
            <w:pPr>
              <w:spacing w:after="0"/>
              <w:rPr>
                <w:sz w:val="17"/>
                <w:szCs w:val="17"/>
                <w:color w:val="auto"/>
              </w:rPr>
            </w:pPr>
          </w:p>
        </w:tc>
        <w:tc>
          <w:tcPr>
            <w:tcW w:w="2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b w:val="1"/>
                <w:bCs w:val="1"/>
                <w:color w:val="2B4C9B"/>
              </w:rPr>
              <w:t>value</w:t>
            </w:r>
          </w:p>
        </w:tc>
        <w:tc>
          <w:tcPr>
            <w:tcW w:w="30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amortization</w:t>
            </w:r>
          </w:p>
        </w:tc>
        <w:tc>
          <w:tcPr>
            <w:tcW w:w="24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gridSpan w:val="2"/>
          </w:tcPr>
          <w:p>
            <w:pPr>
              <w:jc w:val="right"/>
              <w:ind w:right="200"/>
              <w:spacing w:after="0"/>
              <w:rPr>
                <w:sz w:val="20"/>
                <w:szCs w:val="20"/>
                <w:color w:val="auto"/>
              </w:rPr>
            </w:pPr>
            <w:r>
              <w:rPr>
                <w:rFonts w:ascii="Arial" w:cs="Arial" w:eastAsia="Arial" w:hAnsi="Arial"/>
                <w:sz w:val="14"/>
                <w:szCs w:val="14"/>
                <w:b w:val="1"/>
                <w:bCs w:val="1"/>
                <w:color w:val="2B4C9B"/>
              </w:rPr>
              <w:t>value</w:t>
            </w:r>
          </w:p>
        </w:tc>
        <w:tc>
          <w:tcPr>
            <w:tcW w:w="3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value</w:t>
            </w: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850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(78)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772</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179</w:t>
            </w: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2B4C9B"/>
              </w:rPr>
              <w:t>30</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2B4C9B"/>
              </w:rPr>
              <w:t>(1)</w:t>
            </w:r>
          </w:p>
        </w:tc>
        <w:tc>
          <w:tcPr>
            <w:tcW w:w="240" w:type="dxa"/>
            <w:vAlign w:val="bottom"/>
          </w:tcPr>
          <w:p>
            <w:pPr>
              <w:spacing w:after="0"/>
              <w:rPr>
                <w:sz w:val="22"/>
                <w:szCs w:val="22"/>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b w:val="1"/>
                <w:bCs w:val="1"/>
                <w:color w:val="2B4C9B"/>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2</w:t>
            </w:r>
          </w:p>
        </w:tc>
        <w:tc>
          <w:tcPr>
            <w:tcW w:w="30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ind w:right="18"/>
              <w:spacing w:after="0"/>
              <w:rPr>
                <w:sz w:val="20"/>
                <w:szCs w:val="20"/>
                <w:color w:val="auto"/>
              </w:rPr>
            </w:pPr>
            <w:r>
              <w:rPr>
                <w:rFonts w:ascii="Arial" w:cs="Arial" w:eastAsia="Arial" w:hAnsi="Arial"/>
                <w:sz w:val="18"/>
                <w:szCs w:val="18"/>
                <w:b w:val="1"/>
                <w:bCs w:val="1"/>
                <w:color w:val="2B4C9B"/>
              </w:rPr>
              <w:t>2</w:t>
            </w:r>
          </w:p>
        </w:tc>
        <w:tc>
          <w:tcPr>
            <w:tcW w:w="100" w:type="dxa"/>
            <w:vAlign w:val="bottom"/>
            <w:tcBorders>
              <w:bottom w:val="single" w:sz="8" w:color="2B4C9B"/>
            </w:tcBorders>
            <w:shd w:val="clear" w:color="auto" w:fill="CFF0FC"/>
          </w:tcPr>
          <w:p>
            <w:pPr>
              <w:spacing w:after="0"/>
              <w:rPr>
                <w:sz w:val="23"/>
                <w:szCs w:val="23"/>
                <w:color w:val="auto"/>
              </w:rPr>
            </w:pPr>
          </w:p>
        </w:tc>
        <w:tc>
          <w:tcPr>
            <w:tcW w:w="34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2B4C9B"/>
            </w:tcBorders>
            <w:shd w:val="clear" w:color="auto" w:fill="CFF0FC"/>
          </w:tcPr>
          <w:p>
            <w:pPr>
              <w:spacing w:after="0"/>
              <w:rPr>
                <w:sz w:val="23"/>
                <w:szCs w:val="23"/>
                <w:color w:val="auto"/>
              </w:rPr>
            </w:pPr>
          </w:p>
        </w:tc>
        <w:tc>
          <w:tcPr>
            <w:tcW w:w="108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96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r>
      <w:tr>
        <w:trPr>
          <w:trHeight w:val="277"/>
        </w:trPr>
        <w:tc>
          <w:tcPr>
            <w:tcW w:w="32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B4C9B"/>
              </w:rPr>
              <w:t>882</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(79)</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tcBorders>
              <w:bottom w:val="single" w:sz="8" w:color="2B4C9B"/>
            </w:tcBorders>
          </w:tcPr>
          <w:p>
            <w:pPr>
              <w:jc w:val="right"/>
              <w:ind w:right="18"/>
              <w:spacing w:after="0"/>
              <w:rPr>
                <w:sz w:val="20"/>
                <w:szCs w:val="20"/>
                <w:color w:val="auto"/>
              </w:rPr>
            </w:pPr>
            <w:r>
              <w:rPr>
                <w:rFonts w:ascii="Arial" w:cs="Arial" w:eastAsia="Arial" w:hAnsi="Arial"/>
                <w:sz w:val="18"/>
                <w:szCs w:val="18"/>
                <w:b w:val="1"/>
                <w:bCs w:val="1"/>
                <w:color w:val="2B4C9B"/>
              </w:rPr>
              <w:t>803</w:t>
            </w:r>
          </w:p>
        </w:tc>
        <w:tc>
          <w:tcPr>
            <w:tcW w:w="100" w:type="dxa"/>
            <w:vAlign w:val="bottom"/>
            <w:tcBorders>
              <w:bottom w:val="single" w:sz="8" w:color="2B4C9B"/>
            </w:tcBorders>
          </w:tcPr>
          <w:p>
            <w:pPr>
              <w:spacing w:after="0"/>
              <w:rPr>
                <w:sz w:val="24"/>
                <w:szCs w:val="24"/>
                <w:color w:val="auto"/>
              </w:rPr>
            </w:pPr>
          </w:p>
        </w:tc>
        <w:tc>
          <w:tcPr>
            <w:tcW w:w="34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179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was $24 million, $21 million and $26 million for fiscal 2019, 2018 and 2017,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intangible asset impairment losses during the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intangible assets as of February 1, 2019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72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(in millions)</w:t>
            </w:r>
          </w:p>
        </w:tc>
      </w:tr>
      <w:tr>
        <w:trPr>
          <w:trHeight w:val="256"/>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47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2021</w:t>
            </w:r>
          </w:p>
        </w:tc>
        <w:tc>
          <w:tcPr>
            <w:tcW w:w="47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w:t>
            </w: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47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2023</w:t>
            </w:r>
          </w:p>
        </w:tc>
        <w:tc>
          <w:tcPr>
            <w:tcW w:w="47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65</w:t>
            </w: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47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w:t>
            </w:r>
          </w:p>
        </w:tc>
      </w:tr>
      <w:tr>
        <w:trPr>
          <w:trHeight w:val="250"/>
        </w:trPr>
        <w:tc>
          <w:tcPr>
            <w:tcW w:w="5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472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453</w:t>
            </w:r>
          </w:p>
        </w:tc>
      </w:tr>
      <w:tr>
        <w:trPr>
          <w:trHeight w:val="264"/>
        </w:trPr>
        <w:tc>
          <w:tcPr>
            <w:tcW w:w="5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803</w:t>
            </w:r>
          </w:p>
        </w:tc>
      </w:tr>
    </w:tbl>
    <w:p>
      <w:pPr>
        <w:spacing w:after="0" w:line="67"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6—Property, Plant, and Equipment:</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Property, plant, and equipment are carried at cost net of accumulated depreciation and amortization. 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from the accounts and any resulting gain or loss is recognized.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is recognized using the methods and estimated useful lives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Arial" w:cs="Arial" w:eastAsia="Arial" w:hAnsi="Arial"/>
                <w:sz w:val="14"/>
                <w:szCs w:val="14"/>
                <w:color w:val="auto"/>
              </w:rPr>
              <w:t>Depreciation or</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Estimated useful lives</w:t>
            </w:r>
          </w:p>
        </w:tc>
        <w:tc>
          <w:tcPr>
            <w:tcW w:w="40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2B4C9B"/>
              </w:rPr>
              <w:t>February 1,</w:t>
            </w:r>
          </w:p>
        </w:tc>
        <w:tc>
          <w:tcPr>
            <w:tcW w:w="54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2B4C9B"/>
            </w:tcBorders>
          </w:tcPr>
          <w:p>
            <w:pPr>
              <w:spacing w:after="0"/>
              <w:rPr>
                <w:sz w:val="17"/>
                <w:szCs w:val="17"/>
                <w:color w:val="auto"/>
              </w:rPr>
            </w:pPr>
          </w:p>
        </w:tc>
        <w:tc>
          <w:tcPr>
            <w:tcW w:w="2320" w:type="dxa"/>
            <w:vAlign w:val="bottom"/>
            <w:tcBorders>
              <w:bottom w:val="single" w:sz="8" w:color="2B4C9B"/>
            </w:tcBorders>
          </w:tcPr>
          <w:p>
            <w:pPr>
              <w:jc w:val="right"/>
              <w:ind w:right="26"/>
              <w:spacing w:after="0"/>
              <w:rPr>
                <w:sz w:val="20"/>
                <w:szCs w:val="20"/>
                <w:color w:val="auto"/>
              </w:rPr>
            </w:pPr>
            <w:r>
              <w:rPr>
                <w:rFonts w:ascii="Arial" w:cs="Arial" w:eastAsia="Arial" w:hAnsi="Arial"/>
                <w:sz w:val="14"/>
                <w:szCs w:val="14"/>
                <w:color w:val="auto"/>
              </w:rPr>
              <w:t>amortization method</w:t>
            </w:r>
          </w:p>
        </w:tc>
        <w:tc>
          <w:tcPr>
            <w:tcW w:w="156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(in years)</w:t>
            </w:r>
          </w:p>
        </w:tc>
        <w:tc>
          <w:tcPr>
            <w:tcW w:w="4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4"/>
              <w:spacing w:after="0"/>
              <w:rPr>
                <w:sz w:val="20"/>
                <w:szCs w:val="20"/>
                <w:color w:val="auto"/>
              </w:rPr>
            </w:pPr>
            <w:r>
              <w:rPr>
                <w:rFonts w:ascii="Arial" w:cs="Arial" w:eastAsia="Arial" w:hAnsi="Arial"/>
                <w:sz w:val="14"/>
                <w:szCs w:val="14"/>
                <w:b w:val="1"/>
                <w:bCs w:val="1"/>
                <w:color w:val="2B4C9B"/>
              </w:rPr>
              <w:t>2019</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40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Computer equipment</w:t>
            </w:r>
          </w:p>
        </w:tc>
        <w:tc>
          <w:tcPr>
            <w:tcW w:w="2320" w:type="dxa"/>
            <w:vAlign w:val="bottom"/>
            <w:shd w:val="clear" w:color="auto" w:fill="CFF0FC"/>
          </w:tcPr>
          <w:p>
            <w:pPr>
              <w:jc w:val="right"/>
              <w:ind w:right="26"/>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90</w:t>
            </w:r>
          </w:p>
        </w:tc>
        <w:tc>
          <w:tcPr>
            <w:tcW w:w="5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3"/>
        </w:trPr>
        <w:tc>
          <w:tcPr>
            <w:tcW w:w="4400" w:type="dxa"/>
            <w:vAlign w:val="bottom"/>
            <w:vMerge w:val="continue"/>
            <w:shd w:val="clear" w:color="auto" w:fill="CFF0FC"/>
          </w:tcPr>
          <w:p>
            <w:pPr>
              <w:spacing w:after="0"/>
              <w:rPr>
                <w:sz w:val="8"/>
                <w:szCs w:val="8"/>
                <w:color w:val="auto"/>
              </w:rPr>
            </w:pPr>
          </w:p>
        </w:tc>
        <w:tc>
          <w:tcPr>
            <w:tcW w:w="2320" w:type="dxa"/>
            <w:vAlign w:val="bottom"/>
            <w:vMerge w:val="restart"/>
            <w:shd w:val="clear" w:color="auto" w:fill="CFF0FC"/>
          </w:tcPr>
          <w:p>
            <w:pPr>
              <w:jc w:val="right"/>
              <w:ind w:right="26"/>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shd w:val="clear" w:color="auto" w:fill="CFF0FC"/>
          </w:tcPr>
          <w:p>
            <w:pPr>
              <w:spacing w:after="0"/>
              <w:rPr>
                <w:sz w:val="8"/>
                <w:szCs w:val="8"/>
                <w:color w:val="auto"/>
              </w:rPr>
            </w:pPr>
          </w:p>
        </w:tc>
        <w:tc>
          <w:tcPr>
            <w:tcW w:w="40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00" w:type="dxa"/>
            <w:vAlign w:val="bottom"/>
            <w:shd w:val="clear" w:color="auto" w:fill="CFF0FC"/>
          </w:tcPr>
          <w:p>
            <w:pPr>
              <w:spacing w:after="0"/>
              <w:rPr>
                <w:sz w:val="7"/>
                <w:szCs w:val="7"/>
                <w:color w:val="auto"/>
              </w:rPr>
            </w:pPr>
          </w:p>
        </w:tc>
        <w:tc>
          <w:tcPr>
            <w:tcW w:w="2320" w:type="dxa"/>
            <w:vAlign w:val="bottom"/>
            <w:vMerge w:val="continue"/>
            <w:shd w:val="clear" w:color="auto" w:fill="CFF0FC"/>
          </w:tcPr>
          <w:p>
            <w:pPr>
              <w:spacing w:after="0"/>
              <w:rPr>
                <w:sz w:val="7"/>
                <w:szCs w:val="7"/>
                <w:color w:val="auto"/>
              </w:rPr>
            </w:pPr>
          </w:p>
        </w:tc>
        <w:tc>
          <w:tcPr>
            <w:tcW w:w="15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Capitalized software and software licenses</w:t>
            </w:r>
          </w:p>
        </w:tc>
        <w:tc>
          <w:tcPr>
            <w:tcW w:w="2320" w:type="dxa"/>
            <w:vAlign w:val="bottom"/>
          </w:tcPr>
          <w:p>
            <w:pPr>
              <w:jc w:val="right"/>
              <w:ind w:right="26"/>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tcPr>
          <w:p>
            <w:pPr>
              <w:spacing w:after="0"/>
              <w:rPr>
                <w:sz w:val="16"/>
                <w:szCs w:val="16"/>
                <w:color w:val="auto"/>
              </w:rPr>
            </w:pPr>
          </w:p>
        </w:tc>
        <w:tc>
          <w:tcPr>
            <w:tcW w:w="11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2B4C9B"/>
              </w:rPr>
              <w:t>61</w:t>
            </w:r>
          </w:p>
        </w:tc>
        <w:tc>
          <w:tcPr>
            <w:tcW w:w="540" w:type="dxa"/>
            <w:vAlign w:val="bottom"/>
          </w:tcPr>
          <w:p>
            <w:pPr>
              <w:spacing w:after="0"/>
              <w:rPr>
                <w:sz w:val="16"/>
                <w:szCs w:val="16"/>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3"/>
        </w:trPr>
        <w:tc>
          <w:tcPr>
            <w:tcW w:w="4400" w:type="dxa"/>
            <w:vAlign w:val="bottom"/>
            <w:vMerge w:val="continue"/>
          </w:tcPr>
          <w:p>
            <w:pPr>
              <w:spacing w:after="0"/>
              <w:rPr>
                <w:sz w:val="8"/>
                <w:szCs w:val="8"/>
                <w:color w:val="auto"/>
              </w:rPr>
            </w:pPr>
          </w:p>
        </w:tc>
        <w:tc>
          <w:tcPr>
            <w:tcW w:w="2320" w:type="dxa"/>
            <w:vAlign w:val="bottom"/>
            <w:vMerge w:val="restart"/>
          </w:tcPr>
          <w:p>
            <w:pPr>
              <w:jc w:val="right"/>
              <w:ind w:right="26"/>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40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2320" w:type="dxa"/>
            <w:vAlign w:val="bottom"/>
            <w:vMerge w:val="restart"/>
            <w:shd w:val="clear" w:color="auto" w:fill="CFF0FC"/>
          </w:tcPr>
          <w:p>
            <w:pPr>
              <w:jc w:val="right"/>
              <w:ind w:right="26"/>
              <w:spacing w:after="0"/>
              <w:rPr>
                <w:sz w:val="20"/>
                <w:szCs w:val="20"/>
                <w:color w:val="auto"/>
              </w:rPr>
            </w:pPr>
            <w:r>
              <w:rPr>
                <w:rFonts w:ascii="Arial" w:cs="Arial" w:eastAsia="Arial" w:hAnsi="Arial"/>
                <w:sz w:val="14"/>
                <w:szCs w:val="14"/>
                <w:color w:val="auto"/>
              </w:rPr>
              <w:t>Straight-line</w:t>
            </w:r>
          </w:p>
        </w:tc>
        <w:tc>
          <w:tcPr>
            <w:tcW w:w="1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Shorter of lease term</w:t>
            </w:r>
          </w:p>
        </w:tc>
        <w:tc>
          <w:tcPr>
            <w:tcW w:w="40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81</w:t>
            </w:r>
          </w:p>
        </w:tc>
        <w:tc>
          <w:tcPr>
            <w:tcW w:w="5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3"/>
        </w:trPr>
        <w:tc>
          <w:tcPr>
            <w:tcW w:w="4400" w:type="dxa"/>
            <w:vAlign w:val="bottom"/>
            <w:vMerge w:val="continue"/>
            <w:shd w:val="clear" w:color="auto" w:fill="CFF0FC"/>
          </w:tcPr>
          <w:p>
            <w:pPr>
              <w:spacing w:after="0"/>
              <w:rPr>
                <w:sz w:val="8"/>
                <w:szCs w:val="8"/>
                <w:color w:val="auto"/>
              </w:rPr>
            </w:pPr>
          </w:p>
        </w:tc>
        <w:tc>
          <w:tcPr>
            <w:tcW w:w="2320" w:type="dxa"/>
            <w:vAlign w:val="bottom"/>
            <w:vMerge w:val="continue"/>
            <w:shd w:val="clear" w:color="auto" w:fill="CFF0FC"/>
          </w:tcPr>
          <w:p>
            <w:pPr>
              <w:spacing w:after="0"/>
              <w:rPr>
                <w:sz w:val="8"/>
                <w:szCs w:val="8"/>
                <w:color w:val="auto"/>
              </w:rPr>
            </w:pP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or 10</w:t>
            </w:r>
          </w:p>
        </w:tc>
        <w:tc>
          <w:tcPr>
            <w:tcW w:w="40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00" w:type="dxa"/>
            <w:vAlign w:val="bottom"/>
            <w:shd w:val="clear" w:color="auto" w:fill="CFF0FC"/>
          </w:tcPr>
          <w:p>
            <w:pPr>
              <w:spacing w:after="0"/>
              <w:rPr>
                <w:sz w:val="7"/>
                <w:szCs w:val="7"/>
                <w:color w:val="auto"/>
              </w:rPr>
            </w:pPr>
          </w:p>
        </w:tc>
        <w:tc>
          <w:tcPr>
            <w:tcW w:w="2320" w:type="dxa"/>
            <w:vAlign w:val="bottom"/>
            <w:shd w:val="clear" w:color="auto" w:fill="CFF0FC"/>
          </w:tcPr>
          <w:p>
            <w:pPr>
              <w:spacing w:after="0"/>
              <w:rPr>
                <w:sz w:val="7"/>
                <w:szCs w:val="7"/>
                <w:color w:val="auto"/>
              </w:rPr>
            </w:pPr>
          </w:p>
        </w:tc>
        <w:tc>
          <w:tcPr>
            <w:tcW w:w="1560" w:type="dxa"/>
            <w:vAlign w:val="bottom"/>
            <w:vMerge w:val="continue"/>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Office furniture and fixtures</w:t>
            </w:r>
          </w:p>
        </w:tc>
        <w:tc>
          <w:tcPr>
            <w:tcW w:w="2320" w:type="dxa"/>
            <w:vAlign w:val="bottom"/>
          </w:tcPr>
          <w:p>
            <w:pPr>
              <w:jc w:val="right"/>
              <w:ind w:right="26"/>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tcPr>
          <w:p>
            <w:pPr>
              <w:spacing w:after="0"/>
              <w:rPr>
                <w:sz w:val="16"/>
                <w:szCs w:val="16"/>
                <w:color w:val="auto"/>
              </w:rPr>
            </w:pPr>
          </w:p>
        </w:tc>
        <w:tc>
          <w:tcPr>
            <w:tcW w:w="11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2B4C9B"/>
              </w:rPr>
              <w:t>19</w:t>
            </w:r>
          </w:p>
        </w:tc>
        <w:tc>
          <w:tcPr>
            <w:tcW w:w="540" w:type="dxa"/>
            <w:vAlign w:val="bottom"/>
          </w:tcPr>
          <w:p>
            <w:pPr>
              <w:spacing w:after="0"/>
              <w:rPr>
                <w:sz w:val="16"/>
                <w:szCs w:val="16"/>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3"/>
        </w:trPr>
        <w:tc>
          <w:tcPr>
            <w:tcW w:w="4400" w:type="dxa"/>
            <w:vAlign w:val="bottom"/>
            <w:vMerge w:val="continue"/>
          </w:tcPr>
          <w:p>
            <w:pPr>
              <w:spacing w:after="0"/>
              <w:rPr>
                <w:sz w:val="8"/>
                <w:szCs w:val="8"/>
                <w:color w:val="auto"/>
              </w:rPr>
            </w:pPr>
          </w:p>
        </w:tc>
        <w:tc>
          <w:tcPr>
            <w:tcW w:w="2320" w:type="dxa"/>
            <w:vAlign w:val="bottom"/>
            <w:vMerge w:val="restart"/>
          </w:tcPr>
          <w:p>
            <w:pPr>
              <w:jc w:val="right"/>
              <w:ind w:right="26"/>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Buildings and improvements</w:t>
            </w:r>
          </w:p>
        </w:tc>
        <w:tc>
          <w:tcPr>
            <w:tcW w:w="232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4"/>
                <w:szCs w:val="14"/>
                <w:color w:val="auto"/>
              </w:rPr>
              <w:t>Straight-line</w:t>
            </w:r>
          </w:p>
        </w:tc>
        <w:tc>
          <w:tcPr>
            <w:tcW w:w="15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40</w:t>
            </w:r>
          </w:p>
        </w:tc>
        <w:tc>
          <w:tcPr>
            <w:tcW w:w="4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7</w:t>
            </w:r>
          </w:p>
        </w:tc>
        <w:tc>
          <w:tcPr>
            <w:tcW w:w="5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2B4C9B"/>
              </w:rPr>
              <w:t>3</w:t>
            </w:r>
          </w:p>
        </w:tc>
        <w:tc>
          <w:tcPr>
            <w:tcW w:w="5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Land</w:t>
            </w:r>
          </w:p>
        </w:tc>
        <w:tc>
          <w:tcPr>
            <w:tcW w:w="232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1</w:t>
            </w:r>
          </w:p>
        </w:tc>
        <w:tc>
          <w:tcPr>
            <w:tcW w:w="5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00" w:type="dxa"/>
            <w:vAlign w:val="bottom"/>
            <w:tcBorders>
              <w:top w:val="single" w:sz="8" w:color="2B4C9B"/>
            </w:tcBorders>
          </w:tcPr>
          <w:p>
            <w:pPr>
              <w:ind w:left="40"/>
              <w:spacing w:after="0"/>
              <w:rPr>
                <w:sz w:val="20"/>
                <w:szCs w:val="20"/>
                <w:color w:val="auto"/>
              </w:rPr>
            </w:pPr>
            <w:r>
              <w:rPr>
                <w:rFonts w:ascii="Arial" w:cs="Arial" w:eastAsia="Arial" w:hAnsi="Arial"/>
                <w:sz w:val="18"/>
                <w:szCs w:val="18"/>
                <w:color w:val="auto"/>
              </w:rPr>
              <w:t>Property, plant, and equipment</w:t>
            </w:r>
          </w:p>
        </w:tc>
        <w:tc>
          <w:tcPr>
            <w:tcW w:w="2320" w:type="dxa"/>
            <w:vAlign w:val="bottom"/>
            <w:tcBorders>
              <w:top w:val="single" w:sz="8" w:color="2B4C9B"/>
            </w:tcBorders>
          </w:tcPr>
          <w:p>
            <w:pPr>
              <w:spacing w:after="0"/>
              <w:rPr>
                <w:sz w:val="22"/>
                <w:szCs w:val="22"/>
                <w:color w:val="auto"/>
              </w:rPr>
            </w:pPr>
          </w:p>
        </w:tc>
        <w:tc>
          <w:tcPr>
            <w:tcW w:w="1560" w:type="dxa"/>
            <w:vAlign w:val="bottom"/>
            <w:tcBorders>
              <w:top w:val="single" w:sz="8" w:color="2B4C9B"/>
            </w:tcBorders>
          </w:tcPr>
          <w:p>
            <w:pPr>
              <w:spacing w:after="0"/>
              <w:rPr>
                <w:sz w:val="22"/>
                <w:szCs w:val="22"/>
                <w:color w:val="auto"/>
              </w:rPr>
            </w:pPr>
          </w:p>
        </w:tc>
        <w:tc>
          <w:tcPr>
            <w:tcW w:w="400" w:type="dxa"/>
            <w:vAlign w:val="bottom"/>
            <w:tcBorders>
              <w:top w:val="single" w:sz="8" w:color="2B4C9B"/>
            </w:tcBorders>
          </w:tcPr>
          <w:p>
            <w:pPr>
              <w:spacing w:after="0"/>
              <w:rPr>
                <w:sz w:val="22"/>
                <w:szCs w:val="22"/>
                <w:color w:val="auto"/>
              </w:rPr>
            </w:pPr>
          </w:p>
        </w:tc>
        <w:tc>
          <w:tcPr>
            <w:tcW w:w="1180" w:type="dxa"/>
            <w:vAlign w:val="bottom"/>
            <w:tcBorders>
              <w:top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262</w:t>
            </w:r>
          </w:p>
        </w:tc>
        <w:tc>
          <w:tcPr>
            <w:tcW w:w="540" w:type="dxa"/>
            <w:vAlign w:val="bottom"/>
            <w:tcBorders>
              <w:top w:val="single" w:sz="8" w:color="2B4C9B"/>
            </w:tcBorders>
          </w:tcPr>
          <w:p>
            <w:pPr>
              <w:spacing w:after="0"/>
              <w:rPr>
                <w:sz w:val="22"/>
                <w:szCs w:val="22"/>
                <w:color w:val="auto"/>
              </w:rPr>
            </w:pPr>
          </w:p>
        </w:tc>
        <w:tc>
          <w:tcPr>
            <w:tcW w:w="1020" w:type="dxa"/>
            <w:vAlign w:val="bottom"/>
            <w:tcBorders>
              <w:top w:val="single" w:sz="8" w:color="2B4C9B"/>
            </w:tcBorders>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320" w:type="dxa"/>
            <w:vAlign w:val="bottom"/>
            <w:tcBorders>
              <w:bottom w:val="single" w:sz="8" w:color="2B4C9B"/>
            </w:tcBorders>
            <w:shd w:val="clear" w:color="auto" w:fill="CFF0FC"/>
          </w:tcPr>
          <w:p>
            <w:pPr>
              <w:spacing w:after="0"/>
              <w:rPr>
                <w:sz w:val="23"/>
                <w:szCs w:val="23"/>
                <w:color w:val="auto"/>
              </w:rPr>
            </w:pPr>
          </w:p>
        </w:tc>
        <w:tc>
          <w:tcPr>
            <w:tcW w:w="1560" w:type="dxa"/>
            <w:vAlign w:val="bottom"/>
            <w:tcBorders>
              <w:bottom w:val="single" w:sz="8" w:color="2B4C9B"/>
            </w:tcBorders>
            <w:shd w:val="clear" w:color="auto" w:fill="CFF0FC"/>
          </w:tcPr>
          <w:p>
            <w:pPr>
              <w:spacing w:after="0"/>
              <w:rPr>
                <w:sz w:val="23"/>
                <w:szCs w:val="23"/>
                <w:color w:val="auto"/>
              </w:rPr>
            </w:pPr>
          </w:p>
        </w:tc>
        <w:tc>
          <w:tcPr>
            <w:tcW w:w="40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(159)</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2320" w:type="dxa"/>
            <w:vAlign w:val="bottom"/>
            <w:tcBorders>
              <w:bottom w:val="single" w:sz="8" w:color="2B4C9B"/>
            </w:tcBorders>
          </w:tcPr>
          <w:p>
            <w:pPr>
              <w:spacing w:after="0"/>
              <w:rPr>
                <w:sz w:val="24"/>
                <w:szCs w:val="24"/>
                <w:color w:val="auto"/>
              </w:rPr>
            </w:pPr>
          </w:p>
        </w:tc>
        <w:tc>
          <w:tcPr>
            <w:tcW w:w="1560" w:type="dxa"/>
            <w:vAlign w:val="bottom"/>
            <w:tcBorders>
              <w:bottom w:val="single" w:sz="8" w:color="2B4C9B"/>
            </w:tcBorders>
          </w:tcPr>
          <w:p>
            <w:pPr>
              <w:spacing w:after="0"/>
              <w:rPr>
                <w:sz w:val="24"/>
                <w:szCs w:val="24"/>
                <w:color w:val="auto"/>
              </w:rPr>
            </w:pPr>
          </w:p>
        </w:tc>
        <w:tc>
          <w:tcPr>
            <w:tcW w:w="40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103</w:t>
            </w:r>
          </w:p>
        </w:tc>
        <w:tc>
          <w:tcPr>
            <w:tcW w:w="54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4"/>
                <w:szCs w:val="24"/>
                <w:color w:val="auto"/>
              </w:rPr>
            </w:pPr>
          </w:p>
        </w:tc>
        <w:tc>
          <w:tcPr>
            <w:tcW w:w="2320" w:type="dxa"/>
            <w:vAlign w:val="bottom"/>
          </w:tcPr>
          <w:p>
            <w:pPr>
              <w:jc w:val="right"/>
              <w:ind w:right="746"/>
              <w:spacing w:after="0"/>
              <w:rPr>
                <w:sz w:val="20"/>
                <w:szCs w:val="20"/>
                <w:color w:val="auto"/>
              </w:rPr>
            </w:pPr>
            <w:r>
              <w:rPr>
                <w:rFonts w:ascii="Arial" w:cs="Arial" w:eastAsia="Arial" w:hAnsi="Arial"/>
                <w:sz w:val="18"/>
                <w:szCs w:val="18"/>
                <w:color w:val="2B4C9B"/>
              </w:rPr>
              <w:t>F-26</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995" w:gutter="0" w:footer="0" w:header="0"/>
        </w:sectPr>
      </w:pPr>
    </w:p>
    <w:bookmarkStart w:id="72" w:name="page73"/>
    <w:bookmarkEnd w:id="7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Depreciation and amortization expense for property, plant, and equipment was $23 million, $23 million and $24 million in fiscal 2019, 2018 and 2017,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7—Stock-Based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Engility Acquisition Assumed Awards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Upon the acquisition of Engility, all Engility outstanding and unvested equity awards were converted into SAIC vesting stock awards using the same exchange ratio as Engility’s common shareholders (0.45 SAIC share per Engility share). The Company assumed approximately 642,000 converted vesting stock awards with a fair value of $ 65.03 per share for a total of $42 million, which was bifurcated between pre- and post-combination periods of service in the amount of $22 million and $20 million, respectively. The amount attributable to the pre-combination service period is included in the purchase consideration of Engility. The remaining $20 million attributable to the post-combination service period will be recognized as post-combination service expense over the remaining vesting periods of the underlying awards. During fiscal 2019, subsequent to the acquisition, the Company completed certain integration activities that accelerated the recognition of $14 million of the post-combination service period expense, which has been included in the amounts reported within acquisition and integration costs on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Plan Summaries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the Company’s employees participate in the following four stock-based compensation plans: “2013 Equity Incentive Plan” (EIP), “Management Stock Compensation Plan,” “Employee Stock Purchase Plan” (ESPP), and the "2012 Long Term Performance Plan" (LTPP) for Engility assumed awards, which are herein referred to together as the “Plans.” The Company issues new shares on the vesting of stock awards or exercise of stock options under these Plans.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EIP provides the Company’s employees and directors the opportunity to receive various types of stock-based compensation and cash awards. The terms of the stock-based awards granted to employees and directors are the same, except that those for directors cliff vest within one year of the grant date. As of February 1, 2019, the Company has outstanding stock options, vested and vesting stock awards, and performance share awards under this plan. Vesting stock awards and stock options granted under the EIP prior to fiscal 2015 generally vest or become exercisable 20%, 20%, 20%, and 40% after one, two, three and four years, respectively. Stock options granted under the EIP in fiscal 2015 and thereafter generally become exercisable 33%, 33%, and 33% after one, two and three years, respectively, while vesting stock awards granted in fiscal 2015 and thereafter generally vest 25%, 25%, 25% and 25% after one, two, three and four years, respectively. The maximum contractual term for stock options granted under the EIP is ten years, but historically the Company has granted stock options with a seven-year contractual term. Vesting may be accelerated for employees meeting retirement eligibility conditions. Stock-based awards generally provide for accelerated vesting if there is a change in control (as defined in the EIP). Vesting stock awards and performance share awards have forfeitable rights to dividends. In June 2014, the EIP was amended and restated to increase the total authorized shares of common stock for issuance under the EIP from 5.7 million to 8.5 million.</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grants performance-based stock awards to certain officers and key employees under the EIP. Performance shares are rights to receive shares of the Company’s stock on the satisfaction of service requirements and performance conditions. These awards cliff vest at the end of the third fiscal year following the grant date, subject to meeting the minimum service requirements and the achievement of certain annual and cumulative financial metrics of the Company’s performance, with the number of shares ultimately issued, if any, ranging up to 150% of the specified target shares. If performance is below the minimum threshold level of performance, no shares will be issued. For all performance share awards granted, the annual financial metrics are based on operating cash flows and the cumulative financial metrics are based on operating income.</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Management Stock Compensation Plan provides for awards in share units to eligible employees. Benefits from these plans are payable in shares of the Company’s stock that are held in a trust for the purpose of funding benefit payments to the participants. During fiscal 2017 all remaining outstanding awards in the Management Stock Compensation Plan vested. The Board of Directors may at any time amend or terminate the Management Stock Compensation Plan. In the event of a change in control of the Company (as defined by the Management Stock</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F-27</w:t>
      </w:r>
    </w:p>
    <w:p>
      <w:pPr>
        <w:sectPr>
          <w:pgSz w:w="11900" w:h="16838" w:orient="portrait"/>
          <w:cols w:equalWidth="0" w:num="1">
            <w:col w:w="11400"/>
          </w:cols>
          <w:pgMar w:left="240" w:top="141" w:right="259" w:bottom="1440" w:gutter="0" w:footer="0" w:header="0"/>
        </w:sectPr>
      </w:pPr>
    </w:p>
    <w:bookmarkStart w:id="73" w:name="page74"/>
    <w:bookmarkEnd w:id="7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Compensation Plan), participant accounts will be immediately distributed, otherwise will generally be distributed upon retirement, based on the participant’s payout election, or upon termination. The Management Stock Compensation Plan does not provide for a maximum number of shares available for future issuance.</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ESPP allows eligible employees to purchase shares of the Company’s stock at a discount of up to 15% of the fair market value on the date of purchase. During the three years ended February 1, 2019, the discount was 5% of the fair market value on the date of purchase for purchases made under the Company’s ESPP, thereby resulting in the ESPP being non-compensatory. As of February 1, 2019, 3.4 million shares of the Company’s stock are authorized for issuance under the ESPP.</w:t>
      </w:r>
    </w:p>
    <w:p>
      <w:pPr>
        <w:spacing w:after="0" w:line="16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LTPP provides certain employees of the Company the opportunity to receive various types of stock-based compensation awards. As of February 1, 2019, the Company has vesting stock awards assumed from the Engility acquisition under this plan. These remaining outstanding vesting stock awards assumed under the LTPP will continue to vest under their original vesting schedule, when granted by Engility prior to the acquisition, and generally cliff vest at the end of the third fiscal year following the grant date. Vesting may be accelerated for employees meeting retirement eligibility conditions. Vesting stock awards under the LTPP have forfeitable rights to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Expense and Related Tax Benefits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tax benefits recognized under the Plans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February 1,</w:t>
            </w:r>
          </w:p>
        </w:tc>
        <w:tc>
          <w:tcPr>
            <w:tcW w:w="36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2,</w:t>
            </w:r>
          </w:p>
        </w:tc>
        <w:tc>
          <w:tcPr>
            <w:tcW w:w="46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February 3,</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2019</w:t>
            </w:r>
          </w:p>
        </w:tc>
        <w:tc>
          <w:tcPr>
            <w:tcW w:w="36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2017</w:t>
            </w:r>
          </w:p>
        </w:tc>
      </w:tr>
      <w:tr>
        <w:trPr>
          <w:trHeight w:val="258"/>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6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Vesting stock awards</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2B4C9B"/>
              </w:rPr>
              <w:t>37</w:t>
            </w:r>
          </w:p>
        </w:tc>
        <w:tc>
          <w:tcPr>
            <w:tcW w:w="36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w:t>
            </w:r>
          </w:p>
        </w:tc>
      </w:tr>
      <w:tr>
        <w:trPr>
          <w:trHeight w:val="270"/>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 awards</w:t>
            </w:r>
          </w:p>
        </w:tc>
        <w:tc>
          <w:tcPr>
            <w:tcW w:w="36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5</w:t>
            </w:r>
          </w:p>
        </w:tc>
        <w:tc>
          <w:tcPr>
            <w:tcW w:w="36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3</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45</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31</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recognized from stock-based compensation</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20</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12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 Options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Stock options are granted with their exercise price equal to the closing market price of the Company’s stock on the last trading day preceding the grant date, except for those stock options outstanding as of September 27, 2013, for which the exercise prices (and number of stock options) were adjusted for the conversion at separation.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February 1, 2019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Shares of stocks</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Weighted average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under stock</w:t>
            </w:r>
          </w:p>
        </w:tc>
        <w:tc>
          <w:tcPr>
            <w:tcW w:w="280" w:type="dxa"/>
            <w:vAlign w:val="bottom"/>
          </w:tcPr>
          <w:p>
            <w:pPr>
              <w:spacing w:after="0"/>
              <w:rPr>
                <w:sz w:val="14"/>
                <w:szCs w:val="14"/>
                <w:color w:val="auto"/>
              </w:rPr>
            </w:pPr>
          </w:p>
        </w:tc>
        <w:tc>
          <w:tcPr>
            <w:tcW w:w="1380" w:type="dxa"/>
            <w:vAlign w:val="bottom"/>
          </w:tcPr>
          <w:p>
            <w:pPr>
              <w:jc w:val="right"/>
              <w:ind w:right="14"/>
              <w:spacing w:after="0"/>
              <w:rPr>
                <w:sz w:val="20"/>
                <w:szCs w:val="20"/>
                <w:color w:val="auto"/>
              </w:rPr>
            </w:pPr>
            <w:r>
              <w:rPr>
                <w:rFonts w:ascii="Arial" w:cs="Arial" w:eastAsia="Arial" w:hAnsi="Arial"/>
                <w:sz w:val="14"/>
                <w:szCs w:val="14"/>
                <w:color w:val="auto"/>
              </w:rPr>
              <w:t>Weighted average</w:t>
            </w:r>
          </w:p>
        </w:tc>
        <w:tc>
          <w:tcPr>
            <w:tcW w:w="1860" w:type="dxa"/>
            <w:vAlign w:val="bottom"/>
          </w:tcPr>
          <w:p>
            <w:pPr>
              <w:jc w:val="right"/>
              <w:spacing w:after="0"/>
              <w:rPr>
                <w:sz w:val="20"/>
                <w:szCs w:val="20"/>
                <w:color w:val="auto"/>
              </w:rPr>
            </w:pPr>
            <w:r>
              <w:rPr>
                <w:rFonts w:ascii="Arial" w:cs="Arial" w:eastAsia="Arial" w:hAnsi="Arial"/>
                <w:sz w:val="14"/>
                <w:szCs w:val="14"/>
                <w:color w:val="auto"/>
              </w:rPr>
              <w:t>remaining contractual</w:t>
            </w:r>
          </w:p>
        </w:tc>
        <w:tc>
          <w:tcPr>
            <w:tcW w:w="26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Aggregate</w:t>
            </w:r>
          </w:p>
        </w:tc>
      </w:tr>
      <w:tr>
        <w:trPr>
          <w:trHeight w:val="178"/>
        </w:trPr>
        <w:tc>
          <w:tcPr>
            <w:tcW w:w="4740" w:type="dxa"/>
            <w:vAlign w:val="bottom"/>
            <w:tcBorders>
              <w:bottom w:val="single" w:sz="8" w:color="2B4C9B"/>
            </w:tcBorders>
          </w:tcPr>
          <w:p>
            <w:pPr>
              <w:spacing w:after="0"/>
              <w:rPr>
                <w:sz w:val="15"/>
                <w:szCs w:val="15"/>
                <w:color w:val="auto"/>
              </w:rPr>
            </w:pPr>
          </w:p>
        </w:tc>
        <w:tc>
          <w:tcPr>
            <w:tcW w:w="178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color w:val="auto"/>
              </w:rPr>
              <w:t>options</w:t>
            </w:r>
          </w:p>
        </w:tc>
        <w:tc>
          <w:tcPr>
            <w:tcW w:w="280" w:type="dxa"/>
            <w:vAlign w:val="bottom"/>
            <w:tcBorders>
              <w:bottom w:val="single" w:sz="8" w:color="2B4C9B"/>
            </w:tcBorders>
          </w:tcPr>
          <w:p>
            <w:pPr>
              <w:spacing w:after="0"/>
              <w:rPr>
                <w:sz w:val="15"/>
                <w:szCs w:val="15"/>
                <w:color w:val="auto"/>
              </w:rPr>
            </w:pP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exercise price</w:t>
            </w:r>
          </w:p>
        </w:tc>
        <w:tc>
          <w:tcPr>
            <w:tcW w:w="1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term</w:t>
            </w:r>
          </w:p>
        </w:tc>
        <w:tc>
          <w:tcPr>
            <w:tcW w:w="26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intrinsic value</w:t>
            </w:r>
          </w:p>
        </w:tc>
      </w:tr>
      <w:tr>
        <w:trPr>
          <w:trHeight w:val="264"/>
        </w:trPr>
        <w:tc>
          <w:tcPr>
            <w:tcW w:w="4740" w:type="dxa"/>
            <w:vAlign w:val="bottom"/>
          </w:tcPr>
          <w:p>
            <w:pPr>
              <w:spacing w:after="0"/>
              <w:rPr>
                <w:sz w:val="22"/>
                <w:szCs w:val="22"/>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(in years)</w:t>
            </w:r>
          </w:p>
        </w:tc>
        <w:tc>
          <w:tcPr>
            <w:tcW w:w="26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(in millions)</w:t>
            </w:r>
          </w:p>
        </w:tc>
      </w:tr>
      <w:tr>
        <w:trPr>
          <w:trHeight w:val="276"/>
        </w:trPr>
        <w:tc>
          <w:tcPr>
            <w:tcW w:w="4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Outstanding at February 2, 2018</w:t>
            </w:r>
          </w:p>
        </w:tc>
        <w:tc>
          <w:tcPr>
            <w:tcW w:w="17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43.07</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w:t>
            </w:r>
          </w:p>
        </w:tc>
      </w:tr>
      <w:tr>
        <w:trPr>
          <w:trHeight w:val="263"/>
        </w:trPr>
        <w:tc>
          <w:tcPr>
            <w:tcW w:w="47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80" w:type="dxa"/>
            <w:vAlign w:val="bottom"/>
          </w:tcPr>
          <w:p>
            <w:pPr>
              <w:jc w:val="right"/>
              <w:ind w:right="77"/>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85.62</w:t>
            </w:r>
          </w:p>
        </w:tc>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4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forfeited or expired</w:t>
            </w:r>
          </w:p>
        </w:tc>
        <w:tc>
          <w:tcPr>
            <w:tcW w:w="17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r>
      <w:tr>
        <w:trPr>
          <w:trHeight w:val="264"/>
        </w:trPr>
        <w:tc>
          <w:tcPr>
            <w:tcW w:w="47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Options exercised</w:t>
            </w:r>
          </w:p>
        </w:tc>
        <w:tc>
          <w:tcPr>
            <w:tcW w:w="178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32.78</w:t>
            </w:r>
          </w:p>
        </w:tc>
        <w:tc>
          <w:tcPr>
            <w:tcW w:w="18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r>
      <w:tr>
        <w:trPr>
          <w:trHeight w:val="264"/>
        </w:trPr>
        <w:tc>
          <w:tcPr>
            <w:tcW w:w="4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Outstanding at February 1, 2019</w:t>
            </w:r>
          </w:p>
        </w:tc>
        <w:tc>
          <w:tcPr>
            <w:tcW w:w="1780" w:type="dxa"/>
            <w:vAlign w:val="bottom"/>
            <w:tcBorders>
              <w:bottom w:val="single" w:sz="8" w:color="2B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1.1</w:t>
            </w:r>
          </w:p>
        </w:tc>
        <w:tc>
          <w:tcPr>
            <w:tcW w:w="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53.67</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18</w:t>
            </w:r>
          </w:p>
        </w:tc>
      </w:tr>
      <w:tr>
        <w:trPr>
          <w:trHeight w:val="264"/>
        </w:trPr>
        <w:tc>
          <w:tcPr>
            <w:tcW w:w="4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Options exercisable at February 1, 2019</w:t>
            </w:r>
          </w:p>
        </w:tc>
        <w:tc>
          <w:tcPr>
            <w:tcW w:w="178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b w:val="1"/>
                <w:bCs w:val="1"/>
                <w:color w:val="2B4C9B"/>
              </w:rPr>
              <w:t>0.8</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b w:val="1"/>
                <w:bCs w:val="1"/>
                <w:color w:val="2B4C9B"/>
              </w:rPr>
              <w:t>45.78</w:t>
            </w:r>
          </w:p>
        </w:tc>
        <w:tc>
          <w:tcPr>
            <w:tcW w:w="1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2.8</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b w:val="1"/>
                <w:bCs w:val="1"/>
                <w:color w:val="2B4C9B"/>
              </w:rPr>
              <w:t>17</w:t>
            </w:r>
          </w:p>
        </w:tc>
      </w:tr>
      <w:tr>
        <w:trPr>
          <w:trHeight w:val="264"/>
        </w:trPr>
        <w:tc>
          <w:tcPr>
            <w:tcW w:w="4740" w:type="dxa"/>
            <w:vAlign w:val="bottom"/>
            <w:tcBorders>
              <w:bottom w:val="single" w:sz="8" w:color="2A4C9B"/>
            </w:tcBorders>
            <w:shd w:val="clear" w:color="auto" w:fill="CFF0FC"/>
          </w:tcPr>
          <w:p>
            <w:pPr>
              <w:ind w:left="40"/>
              <w:spacing w:after="0"/>
              <w:rPr>
                <w:sz w:val="20"/>
                <w:szCs w:val="20"/>
                <w:color w:val="auto"/>
              </w:rPr>
            </w:pPr>
            <w:r>
              <w:rPr>
                <w:rFonts w:ascii="Arial" w:cs="Arial" w:eastAsia="Arial" w:hAnsi="Arial"/>
                <w:sz w:val="18"/>
                <w:szCs w:val="18"/>
                <w:color w:val="auto"/>
              </w:rPr>
              <w:t>Vested and expected to vest as of February 1, 2019</w:t>
            </w:r>
          </w:p>
        </w:tc>
        <w:tc>
          <w:tcPr>
            <w:tcW w:w="1780" w:type="dxa"/>
            <w:vAlign w:val="bottom"/>
            <w:tcBorders>
              <w:bottom w:val="single" w:sz="8" w:color="2A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1.0</w:t>
            </w:r>
          </w:p>
        </w:tc>
        <w:tc>
          <w:tcPr>
            <w:tcW w:w="280" w:type="dxa"/>
            <w:vAlign w:val="bottom"/>
            <w:tcBorders>
              <w:bottom w:val="single" w:sz="8" w:color="2A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A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53.43</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18</w:t>
            </w: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February 1, 2019 there was $2 million of unrecognized compensation cost, net of estimated forfeitures, related to stock options, which is expected to be recognized over a weighted average period of 0.9 years.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F-28</w:t>
      </w:r>
    </w:p>
    <w:p>
      <w:pPr>
        <w:sectPr>
          <w:pgSz w:w="11900" w:h="16838" w:orient="portrait"/>
          <w:cols w:equalWidth="0" w:num="1">
            <w:col w:w="11420"/>
          </w:cols>
          <w:pgMar w:left="240" w:top="141" w:right="239" w:bottom="640" w:gutter="0" w:footer="0" w:header="0"/>
        </w:sectPr>
      </w:pPr>
    </w:p>
    <w:bookmarkStart w:id="74" w:name="page75"/>
    <w:bookmarkEnd w:id="7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exercises of stock options: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9"/>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2B4C9B"/>
              </w:rPr>
              <w:t>February 1,</w:t>
            </w:r>
          </w:p>
        </w:tc>
        <w:tc>
          <w:tcPr>
            <w:tcW w:w="360" w:type="dxa"/>
            <w:vAlign w:val="bottom"/>
          </w:tcPr>
          <w:p>
            <w:pPr>
              <w:spacing w:after="0"/>
              <w:rPr>
                <w:sz w:val="15"/>
                <w:szCs w:val="15"/>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color w:val="auto"/>
              </w:rPr>
              <w:t>February 2,</w:t>
            </w:r>
          </w:p>
        </w:tc>
        <w:tc>
          <w:tcPr>
            <w:tcW w:w="4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February 3,</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2019</w:t>
            </w:r>
          </w:p>
        </w:tc>
        <w:tc>
          <w:tcPr>
            <w:tcW w:w="36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Cash received from exercises of stock options</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Stock exchanged at fair value upon exercises of stock options</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1</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3</w:t>
            </w:r>
          </w:p>
        </w:tc>
      </w:tr>
      <w:tr>
        <w:trPr>
          <w:trHeight w:val="264"/>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from exercises of stock options</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7</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8</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intrinsic value of options exercised</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24</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21</w:t>
            </w: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fair value of stock option awards granted under the Company’s plan were valued using the Black-Scholes option-pricing model based on the following assumptions:</w:t>
      </w:r>
    </w:p>
    <w:p>
      <w:pPr>
        <w:spacing w:after="0" w:line="138" w:lineRule="exact"/>
        <w:rPr>
          <w:sz w:val="20"/>
          <w:szCs w:val="20"/>
          <w:color w:val="auto"/>
        </w:rPr>
      </w:pPr>
    </w:p>
    <w:p>
      <w:pPr>
        <w:ind w:left="500" w:right="220"/>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--For options granted during fiscal 2019, the expected term was calculated from the Company's historical data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midpoint method. For options granted prior to fiscal 2019, the expected term was calculated using the U.S. Security and Exchange Commission’s “simplified method” as the midpoint between the vesting term and contractual term.</w:t>
      </w:r>
    </w:p>
    <w:p>
      <w:pPr>
        <w:spacing w:after="0" w:line="136"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options granted in fiscal 2017 and after, the expected volatility is based on the historical volatility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separation from former Parent. For options granted during fiscal 2016 and prior, the expected volatility is based on the volatilities of selected peer group companies over a period consistent with the expected term. Peer group companies were selected from companies within the Company’s industry that most closely match the Company’s business, including size, capital structure and customer base.</w:t>
      </w:r>
    </w:p>
    <w:p>
      <w:pPr>
        <w:spacing w:after="0" w:line="143" w:lineRule="exact"/>
        <w:rPr>
          <w:sz w:val="20"/>
          <w:szCs w:val="20"/>
          <w:color w:val="auto"/>
        </w:rPr>
      </w:pPr>
    </w:p>
    <w:p>
      <w:pPr>
        <w:ind w:left="500" w:right="40"/>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curve of a zero-coupon U.S. Treasury bond with a maturity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term of the stock option on the date of grant.</w:t>
      </w:r>
    </w:p>
    <w:p>
      <w:pPr>
        <w:spacing w:after="0" w:line="121" w:lineRule="exact"/>
        <w:rPr>
          <w:sz w:val="20"/>
          <w:szCs w:val="20"/>
          <w:color w:val="auto"/>
        </w:rPr>
      </w:pPr>
    </w:p>
    <w:p>
      <w:pPr>
        <w:ind w:left="500" w:right="300"/>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assumed over the expected term of the option is calculated based on the most recently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as of the grant date.</w:t>
      </w:r>
    </w:p>
    <w:p>
      <w:pPr>
        <w:spacing w:after="0" w:line="13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The weighted average grant date fair value and assumptions used to determine the fair value of stock options granted for the periods presented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ind w:right="377"/>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r>
      <w:tr>
        <w:trPr>
          <w:trHeight w:val="175"/>
        </w:trPr>
        <w:tc>
          <w:tcPr>
            <w:tcW w:w="4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15"/>
              <w:spacing w:after="0"/>
              <w:rPr>
                <w:sz w:val="20"/>
                <w:szCs w:val="20"/>
                <w:color w:val="auto"/>
              </w:rPr>
            </w:pPr>
            <w:r>
              <w:rPr>
                <w:rFonts w:ascii="Arial" w:cs="Arial" w:eastAsia="Arial" w:hAnsi="Arial"/>
                <w:sz w:val="14"/>
                <w:szCs w:val="14"/>
                <w:b w:val="1"/>
                <w:bCs w:val="1"/>
                <w:color w:val="2B4C9B"/>
              </w:rPr>
              <w:t>February 1,</w:t>
            </w:r>
          </w:p>
        </w:tc>
        <w:tc>
          <w:tcPr>
            <w:tcW w:w="320" w:type="dxa"/>
            <w:vAlign w:val="bottom"/>
          </w:tcPr>
          <w:p>
            <w:pPr>
              <w:spacing w:after="0"/>
              <w:rPr>
                <w:sz w:val="15"/>
                <w:szCs w:val="15"/>
                <w:color w:val="auto"/>
              </w:rPr>
            </w:pPr>
          </w:p>
        </w:tc>
        <w:tc>
          <w:tcPr>
            <w:tcW w:w="1340" w:type="dxa"/>
            <w:vAlign w:val="bottom"/>
          </w:tcPr>
          <w:p>
            <w:pPr>
              <w:jc w:val="right"/>
              <w:ind w:right="197"/>
              <w:spacing w:after="0"/>
              <w:rPr>
                <w:sz w:val="20"/>
                <w:szCs w:val="20"/>
                <w:color w:val="auto"/>
              </w:rPr>
            </w:pPr>
            <w:r>
              <w:rPr>
                <w:rFonts w:ascii="Arial" w:cs="Arial" w:eastAsia="Arial" w:hAnsi="Arial"/>
                <w:sz w:val="14"/>
                <w:szCs w:val="14"/>
                <w:color w:val="auto"/>
              </w:rPr>
              <w:t>February 2,</w:t>
            </w:r>
          </w:p>
        </w:tc>
        <w:tc>
          <w:tcPr>
            <w:tcW w:w="400" w:type="dxa"/>
            <w:vAlign w:val="bottom"/>
          </w:tcPr>
          <w:p>
            <w:pPr>
              <w:spacing w:after="0"/>
              <w:rPr>
                <w:sz w:val="15"/>
                <w:szCs w:val="15"/>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February 3,</w:t>
            </w:r>
          </w:p>
        </w:tc>
      </w:tr>
      <w:tr>
        <w:trPr>
          <w:trHeight w:val="196"/>
        </w:trPr>
        <w:tc>
          <w:tcPr>
            <w:tcW w:w="4340" w:type="dxa"/>
            <w:vAlign w:val="bottom"/>
            <w:tcBorders>
              <w:bottom w:val="single" w:sz="8" w:color="2B4C9B"/>
            </w:tcBorders>
          </w:tcPr>
          <w:p>
            <w:pPr>
              <w:spacing w:after="0"/>
              <w:rPr>
                <w:sz w:val="17"/>
                <w:szCs w:val="17"/>
                <w:color w:val="auto"/>
              </w:rPr>
            </w:pPr>
          </w:p>
        </w:tc>
        <w:tc>
          <w:tcPr>
            <w:tcW w:w="220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75"/>
              <w:spacing w:after="0"/>
              <w:rPr>
                <w:sz w:val="20"/>
                <w:szCs w:val="20"/>
                <w:color w:val="auto"/>
              </w:rPr>
            </w:pPr>
            <w:r>
              <w:rPr>
                <w:rFonts w:ascii="Arial" w:cs="Arial" w:eastAsia="Arial" w:hAnsi="Arial"/>
                <w:sz w:val="14"/>
                <w:szCs w:val="14"/>
                <w:b w:val="1"/>
                <w:bCs w:val="1"/>
                <w:color w:val="2B4C9B"/>
              </w:rPr>
              <w:t>2019</w:t>
            </w:r>
          </w:p>
        </w:tc>
        <w:tc>
          <w:tcPr>
            <w:tcW w:w="320" w:type="dxa"/>
            <w:vAlign w:val="bottom"/>
            <w:tcBorders>
              <w:bottom w:val="single" w:sz="8" w:color="2B4C9B"/>
            </w:tcBorders>
          </w:tcPr>
          <w:p>
            <w:pPr>
              <w:spacing w:after="0"/>
              <w:rPr>
                <w:sz w:val="17"/>
                <w:szCs w:val="17"/>
                <w:color w:val="auto"/>
              </w:rPr>
            </w:pPr>
          </w:p>
        </w:tc>
        <w:tc>
          <w:tcPr>
            <w:tcW w:w="1340" w:type="dxa"/>
            <w:vAlign w:val="bottom"/>
            <w:tcBorders>
              <w:bottom w:val="single" w:sz="8" w:color="2B4C9B"/>
            </w:tcBorders>
          </w:tcPr>
          <w:p>
            <w:pPr>
              <w:jc w:val="right"/>
              <w:ind w:right="177"/>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2017</w:t>
            </w:r>
          </w:p>
        </w:tc>
      </w:tr>
      <w:tr>
        <w:trPr>
          <w:trHeight w:val="270"/>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grant-date fair value</w:t>
            </w:r>
          </w:p>
        </w:tc>
        <w:tc>
          <w:tcPr>
            <w:tcW w:w="2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2B4C9B"/>
              </w:rPr>
              <w:t>$</w:t>
            </w:r>
          </w:p>
        </w:tc>
        <w:tc>
          <w:tcPr>
            <w:tcW w:w="1280" w:type="dxa"/>
            <w:vAlign w:val="bottom"/>
            <w:shd w:val="clear" w:color="auto" w:fill="CFF0FC"/>
          </w:tcPr>
          <w:p>
            <w:pPr>
              <w:jc w:val="right"/>
              <w:ind w:right="175"/>
              <w:spacing w:after="0"/>
              <w:rPr>
                <w:sz w:val="20"/>
                <w:szCs w:val="20"/>
                <w:color w:val="auto"/>
              </w:rPr>
            </w:pPr>
            <w:r>
              <w:rPr>
                <w:rFonts w:ascii="Arial" w:cs="Arial" w:eastAsia="Arial" w:hAnsi="Arial"/>
                <w:sz w:val="18"/>
                <w:szCs w:val="18"/>
                <w:b w:val="1"/>
                <w:bCs w:val="1"/>
                <w:color w:val="2B4C9B"/>
              </w:rPr>
              <w:t>19.48</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77"/>
              <w:spacing w:after="0"/>
              <w:rPr>
                <w:sz w:val="20"/>
                <w:szCs w:val="20"/>
                <w:color w:val="auto"/>
              </w:rPr>
            </w:pPr>
            <w:r>
              <w:rPr>
                <w:rFonts w:ascii="Arial" w:cs="Arial" w:eastAsia="Arial" w:hAnsi="Arial"/>
                <w:sz w:val="18"/>
                <w:szCs w:val="18"/>
                <w:color w:val="auto"/>
              </w:rPr>
              <w:t>16.34</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10.20</w:t>
            </w: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75"/>
              <w:spacing w:after="0"/>
              <w:rPr>
                <w:sz w:val="20"/>
                <w:szCs w:val="20"/>
                <w:color w:val="auto"/>
              </w:rPr>
            </w:pPr>
            <w:r>
              <w:rPr>
                <w:rFonts w:ascii="Arial" w:cs="Arial" w:eastAsia="Arial" w:hAnsi="Arial"/>
                <w:sz w:val="18"/>
                <w:szCs w:val="18"/>
                <w:b w:val="1"/>
                <w:bCs w:val="1"/>
                <w:color w:val="2B4C9B"/>
              </w:rPr>
              <w:t>4.0</w:t>
            </w:r>
          </w:p>
        </w:tc>
        <w:tc>
          <w:tcPr>
            <w:tcW w:w="320" w:type="dxa"/>
            <w:vAlign w:val="bottom"/>
          </w:tcPr>
          <w:p>
            <w:pPr>
              <w:spacing w:after="0"/>
              <w:rPr>
                <w:sz w:val="22"/>
                <w:szCs w:val="22"/>
                <w:color w:val="auto"/>
              </w:rPr>
            </w:pP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2"/>
                <w:szCs w:val="22"/>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4.4</w:t>
            </w:r>
          </w:p>
        </w:tc>
      </w:tr>
      <w:tr>
        <w:trPr>
          <w:trHeight w:val="277"/>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volatility</w:t>
            </w:r>
          </w:p>
        </w:tc>
        <w:tc>
          <w:tcPr>
            <w:tcW w:w="2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29.0%</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b w:val="1"/>
                <w:bCs w:val="1"/>
                <w:color w:val="2B4C9B"/>
              </w:rPr>
              <w:t>2.5%</w:t>
            </w:r>
          </w:p>
        </w:tc>
        <w:tc>
          <w:tcPr>
            <w:tcW w:w="32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1.6%</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675"/>
        </w:trPr>
        <w:tc>
          <w:tcPr>
            <w:tcW w:w="4340" w:type="dxa"/>
            <w:vAlign w:val="bottom"/>
          </w:tcPr>
          <w:p>
            <w:pPr>
              <w:spacing w:after="0"/>
              <w:rPr>
                <w:sz w:val="24"/>
                <w:szCs w:val="24"/>
                <w:color w:val="auto"/>
              </w:rPr>
            </w:pPr>
          </w:p>
        </w:tc>
        <w:tc>
          <w:tcPr>
            <w:tcW w:w="2540" w:type="dxa"/>
            <w:vAlign w:val="bottom"/>
            <w:gridSpan w:val="2"/>
          </w:tcPr>
          <w:p>
            <w:pPr>
              <w:jc w:val="right"/>
              <w:ind w:right="980"/>
              <w:spacing w:after="0"/>
              <w:rPr>
                <w:sz w:val="20"/>
                <w:szCs w:val="20"/>
                <w:color w:val="auto"/>
              </w:rPr>
            </w:pPr>
            <w:r>
              <w:rPr>
                <w:rFonts w:ascii="Arial" w:cs="Arial" w:eastAsia="Arial" w:hAnsi="Arial"/>
                <w:sz w:val="18"/>
                <w:szCs w:val="18"/>
                <w:color w:val="2B4C9B"/>
              </w:rPr>
              <w:t>F-29</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75" w:name="page76"/>
    <w:bookmarkEnd w:id="7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Vesting Stock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Vesting stock award activity for the year ended February 1, 2019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0" w:type="dxa"/>
            <w:vAlign w:val="bottom"/>
            <w:gridSpan w:val="2"/>
          </w:tcPr>
          <w:p>
            <w:pPr>
              <w:jc w:val="right"/>
              <w:ind w:right="13"/>
              <w:spacing w:after="0"/>
              <w:rPr>
                <w:sz w:val="20"/>
                <w:szCs w:val="20"/>
                <w:color w:val="auto"/>
              </w:rPr>
            </w:pPr>
            <w:r>
              <w:rPr>
                <w:rFonts w:ascii="Arial" w:cs="Arial" w:eastAsia="Arial" w:hAnsi="Arial"/>
                <w:sz w:val="14"/>
                <w:szCs w:val="14"/>
                <w:color w:val="auto"/>
              </w:rPr>
              <w:t>Weighted average grant date fair</w:t>
            </w:r>
          </w:p>
        </w:tc>
      </w:tr>
      <w:tr>
        <w:trPr>
          <w:trHeight w:val="178"/>
        </w:trPr>
        <w:tc>
          <w:tcPr>
            <w:tcW w:w="4360" w:type="dxa"/>
            <w:vAlign w:val="bottom"/>
            <w:tcBorders>
              <w:bottom w:val="single" w:sz="8" w:color="2B4C9B"/>
            </w:tcBorders>
          </w:tcPr>
          <w:p>
            <w:pPr>
              <w:spacing w:after="0"/>
              <w:rPr>
                <w:sz w:val="15"/>
                <w:szCs w:val="15"/>
                <w:color w:val="auto"/>
              </w:rPr>
            </w:pPr>
          </w:p>
        </w:tc>
        <w:tc>
          <w:tcPr>
            <w:tcW w:w="4660" w:type="dxa"/>
            <w:vAlign w:val="bottom"/>
            <w:tcBorders>
              <w:bottom w:val="single" w:sz="8" w:color="2B4C9B"/>
            </w:tcBorders>
          </w:tcPr>
          <w:p>
            <w:pPr>
              <w:jc w:val="right"/>
              <w:ind w:right="134"/>
              <w:spacing w:after="0"/>
              <w:rPr>
                <w:sz w:val="20"/>
                <w:szCs w:val="20"/>
                <w:color w:val="auto"/>
              </w:rPr>
            </w:pPr>
            <w:r>
              <w:rPr>
                <w:rFonts w:ascii="Arial" w:cs="Arial" w:eastAsia="Arial" w:hAnsi="Arial"/>
                <w:sz w:val="14"/>
                <w:szCs w:val="14"/>
                <w:color w:val="auto"/>
              </w:rPr>
              <w:t>Shares of stock under stock awards</w:t>
            </w:r>
          </w:p>
        </w:tc>
        <w:tc>
          <w:tcPr>
            <w:tcW w:w="106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value</w:t>
            </w:r>
          </w:p>
        </w:tc>
      </w:tr>
      <w:tr>
        <w:trPr>
          <w:trHeight w:val="264"/>
        </w:trPr>
        <w:tc>
          <w:tcPr>
            <w:tcW w:w="4360" w:type="dxa"/>
            <w:vAlign w:val="bottom"/>
          </w:tcPr>
          <w:p>
            <w:pPr>
              <w:spacing w:after="0"/>
              <w:rPr>
                <w:sz w:val="22"/>
                <w:szCs w:val="22"/>
                <w:color w:val="auto"/>
              </w:rPr>
            </w:pPr>
          </w:p>
        </w:tc>
        <w:tc>
          <w:tcPr>
            <w:tcW w:w="5720" w:type="dxa"/>
            <w:vAlign w:val="bottom"/>
            <w:gridSpan w:val="2"/>
          </w:tcPr>
          <w:p>
            <w:pPr>
              <w:jc w:val="right"/>
              <w:ind w:right="696"/>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2"/>
                <w:szCs w:val="22"/>
                <w:color w:val="auto"/>
              </w:rPr>
            </w:pPr>
          </w:p>
        </w:tc>
      </w:tr>
      <w:tr>
        <w:trPr>
          <w:trHeight w:val="276"/>
        </w:trPr>
        <w:tc>
          <w:tcPr>
            <w:tcW w:w="4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February 2, 2018</w:t>
            </w:r>
          </w:p>
        </w:tc>
        <w:tc>
          <w:tcPr>
            <w:tcW w:w="46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0.9</w:t>
            </w:r>
          </w:p>
        </w:tc>
        <w:tc>
          <w:tcPr>
            <w:tcW w:w="106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59.93</w:t>
            </w:r>
          </w:p>
        </w:tc>
      </w:tr>
      <w:tr>
        <w:trPr>
          <w:trHeight w:val="263"/>
        </w:trPr>
        <w:tc>
          <w:tcPr>
            <w:tcW w:w="436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466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0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84.28</w:t>
            </w:r>
          </w:p>
        </w:tc>
      </w:tr>
      <w:tr>
        <w:trPr>
          <w:trHeight w:val="277"/>
        </w:trPr>
        <w:tc>
          <w:tcPr>
            <w:tcW w:w="4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assumed</w:t>
            </w:r>
          </w:p>
        </w:tc>
        <w:tc>
          <w:tcPr>
            <w:tcW w:w="466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0.6</w:t>
            </w:r>
          </w:p>
        </w:tc>
        <w:tc>
          <w:tcPr>
            <w:tcW w:w="10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65.03</w:t>
            </w:r>
          </w:p>
        </w:tc>
      </w:tr>
      <w:tr>
        <w:trPr>
          <w:trHeight w:val="263"/>
        </w:trPr>
        <w:tc>
          <w:tcPr>
            <w:tcW w:w="436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4660" w:type="dxa"/>
            <w:vAlign w:val="bottom"/>
          </w:tcPr>
          <w:p>
            <w:pPr>
              <w:jc w:val="right"/>
              <w:ind w:right="74"/>
              <w:spacing w:after="0"/>
              <w:rPr>
                <w:sz w:val="20"/>
                <w:szCs w:val="20"/>
                <w:color w:val="auto"/>
              </w:rPr>
            </w:pPr>
            <w:r>
              <w:rPr>
                <w:rFonts w:ascii="Arial" w:cs="Arial" w:eastAsia="Arial" w:hAnsi="Arial"/>
                <w:sz w:val="18"/>
                <w:szCs w:val="18"/>
                <w:color w:val="auto"/>
              </w:rPr>
              <w:t>(0.1)</w:t>
            </w:r>
          </w:p>
        </w:tc>
        <w:tc>
          <w:tcPr>
            <w:tcW w:w="10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72.28</w:t>
            </w:r>
          </w:p>
        </w:tc>
      </w:tr>
      <w:tr>
        <w:trPr>
          <w:trHeight w:val="270"/>
        </w:trPr>
        <w:tc>
          <w:tcPr>
            <w:tcW w:w="43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46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(0.8)</w:t>
            </w:r>
          </w:p>
        </w:tc>
        <w:tc>
          <w:tcPr>
            <w:tcW w:w="1060" w:type="dxa"/>
            <w:vAlign w:val="bottom"/>
            <w:shd w:val="clear" w:color="auto" w:fill="CFF0FC"/>
          </w:tcPr>
          <w:p>
            <w:pPr>
              <w:spacing w:after="0"/>
              <w:rPr>
                <w:sz w:val="23"/>
                <w:szCs w:val="23"/>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60.36</w:t>
            </w:r>
          </w:p>
        </w:tc>
      </w:tr>
      <w:tr>
        <w:trPr>
          <w:trHeight w:val="277"/>
        </w:trPr>
        <w:tc>
          <w:tcPr>
            <w:tcW w:w="4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Unvested February 1, 2019</w:t>
            </w:r>
          </w:p>
        </w:tc>
        <w:tc>
          <w:tcPr>
            <w:tcW w:w="4660" w:type="dxa"/>
            <w:vAlign w:val="bottom"/>
            <w:tcBorders>
              <w:bottom w:val="single" w:sz="8" w:color="2B4C9B"/>
            </w:tcBorders>
          </w:tcPr>
          <w:p>
            <w:pPr>
              <w:jc w:val="right"/>
              <w:ind w:right="134"/>
              <w:spacing w:after="0"/>
              <w:rPr>
                <w:sz w:val="20"/>
                <w:szCs w:val="20"/>
                <w:color w:val="auto"/>
              </w:rPr>
            </w:pPr>
            <w:r>
              <w:rPr>
                <w:rFonts w:ascii="Arial" w:cs="Arial" w:eastAsia="Arial" w:hAnsi="Arial"/>
                <w:sz w:val="18"/>
                <w:szCs w:val="18"/>
                <w:b w:val="1"/>
                <w:bCs w:val="1"/>
                <w:color w:val="2B4C9B"/>
              </w:rPr>
              <w:t>1.0</w:t>
            </w:r>
          </w:p>
        </w:tc>
        <w:tc>
          <w:tcPr>
            <w:tcW w:w="1060" w:type="dxa"/>
            <w:vAlign w:val="bottom"/>
          </w:tcPr>
          <w:p>
            <w:pPr>
              <w:jc w:val="right"/>
              <w:ind w:right="856"/>
              <w:spacing w:after="0"/>
              <w:rPr>
                <w:sz w:val="20"/>
                <w:szCs w:val="20"/>
                <w:color w:val="auto"/>
              </w:rPr>
            </w:pPr>
            <w:r>
              <w:rPr>
                <w:rFonts w:ascii="Arial" w:cs="Arial" w:eastAsia="Arial" w:hAnsi="Arial"/>
                <w:sz w:val="18"/>
                <w:szCs w:val="18"/>
                <w:b w:val="1"/>
                <w:bCs w:val="1"/>
                <w:color w:val="2B4C9B"/>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b w:val="1"/>
                <w:bCs w:val="1"/>
                <w:color w:val="2B4C9B"/>
              </w:rPr>
              <w:t>70.76</w:t>
            </w:r>
          </w:p>
        </w:tc>
      </w:tr>
    </w:tbl>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grant date fair value of vesting stock awards is based on the closing market price of the Company’s stock on the last trading day preceding the grant date. The weighted average grant date fair value of the vesting stock awards granted for fiscal 2019, fiscal 2018 and fiscal 2017 was $84.28, $72.90 and $ 53.62, respectively. As of February 1, 2019 there was $37 million of unrecognized compensation cost, net of estimated forfeitures, related to vesting stock awards, which is expected to be recognized over a weighted average period of 1.6 years. The fair value of vesting stock awards that vested in fiscal 2019, fiscal 2018 and fiscal 2017 was $60 million, $58 million and $64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Performance Share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award activity for the year ended February 1, 2019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600" w:type="dxa"/>
            <w:vAlign w:val="bottom"/>
          </w:tcPr>
          <w:p>
            <w:pPr>
              <w:jc w:val="right"/>
              <w:ind w:right="16"/>
              <w:spacing w:after="0"/>
              <w:rPr>
                <w:sz w:val="20"/>
                <w:szCs w:val="20"/>
                <w:color w:val="auto"/>
              </w:rPr>
            </w:pPr>
            <w:r>
              <w:rPr>
                <w:rFonts w:ascii="Arial" w:cs="Arial" w:eastAsia="Arial" w:hAnsi="Arial"/>
                <w:sz w:val="14"/>
                <w:szCs w:val="14"/>
                <w:color w:val="auto"/>
              </w:rPr>
              <w:t>Shares of stock under performance</w:t>
            </w:r>
          </w:p>
        </w:tc>
        <w:tc>
          <w:tcPr>
            <w:tcW w:w="280" w:type="dxa"/>
            <w:vAlign w:val="bottom"/>
          </w:tcPr>
          <w:p>
            <w:pPr>
              <w:spacing w:after="0"/>
              <w:rPr>
                <w:sz w:val="14"/>
                <w:szCs w:val="14"/>
                <w:color w:val="auto"/>
              </w:rPr>
            </w:pPr>
          </w:p>
        </w:tc>
        <w:tc>
          <w:tcPr>
            <w:tcW w:w="2240" w:type="dxa"/>
            <w:vAlign w:val="bottom"/>
          </w:tcPr>
          <w:p>
            <w:pPr>
              <w:jc w:val="right"/>
              <w:ind w:right="14"/>
              <w:spacing w:after="0"/>
              <w:rPr>
                <w:sz w:val="20"/>
                <w:szCs w:val="20"/>
                <w:color w:val="auto"/>
              </w:rPr>
            </w:pPr>
            <w:r>
              <w:rPr>
                <w:rFonts w:ascii="Arial" w:cs="Arial" w:eastAsia="Arial" w:hAnsi="Arial"/>
                <w:sz w:val="14"/>
                <w:szCs w:val="14"/>
                <w:color w:val="auto"/>
              </w:rPr>
              <w:t>Weighted average grant date fair</w:t>
            </w:r>
          </w:p>
        </w:tc>
      </w:tr>
      <w:tr>
        <w:trPr>
          <w:trHeight w:val="178"/>
        </w:trPr>
        <w:tc>
          <w:tcPr>
            <w:tcW w:w="5300" w:type="dxa"/>
            <w:vAlign w:val="bottom"/>
            <w:tcBorders>
              <w:bottom w:val="single" w:sz="8" w:color="2B4C9B"/>
            </w:tcBorders>
          </w:tcPr>
          <w:p>
            <w:pPr>
              <w:spacing w:after="0"/>
              <w:rPr>
                <w:sz w:val="15"/>
                <w:szCs w:val="15"/>
                <w:color w:val="auto"/>
              </w:rPr>
            </w:pPr>
          </w:p>
        </w:tc>
        <w:tc>
          <w:tcPr>
            <w:tcW w:w="360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2B4C9B"/>
            </w:tcBorders>
          </w:tcPr>
          <w:p>
            <w:pPr>
              <w:spacing w:after="0"/>
              <w:rPr>
                <w:sz w:val="15"/>
                <w:szCs w:val="15"/>
                <w:color w:val="auto"/>
              </w:rPr>
            </w:pPr>
          </w:p>
        </w:tc>
        <w:tc>
          <w:tcPr>
            <w:tcW w:w="224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value</w:t>
            </w:r>
          </w:p>
        </w:tc>
      </w:tr>
      <w:tr>
        <w:trPr>
          <w:trHeight w:val="264"/>
        </w:trPr>
        <w:tc>
          <w:tcPr>
            <w:tcW w:w="5300" w:type="dxa"/>
            <w:vAlign w:val="bottom"/>
          </w:tcPr>
          <w:p>
            <w:pPr>
              <w:spacing w:after="0"/>
              <w:rPr>
                <w:sz w:val="22"/>
                <w:szCs w:val="22"/>
                <w:color w:val="auto"/>
              </w:rPr>
            </w:pPr>
          </w:p>
        </w:tc>
        <w:tc>
          <w:tcPr>
            <w:tcW w:w="3600" w:type="dxa"/>
            <w:vAlign w:val="bottom"/>
          </w:tcPr>
          <w:p>
            <w:pPr>
              <w:jc w:val="right"/>
              <w:ind w:right="16"/>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76"/>
        </w:trPr>
        <w:tc>
          <w:tcPr>
            <w:tcW w:w="5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performance shares at February 2, 2018</w:t>
            </w:r>
          </w:p>
        </w:tc>
        <w:tc>
          <w:tcPr>
            <w:tcW w:w="36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62.96</w:t>
            </w:r>
          </w:p>
        </w:tc>
      </w:tr>
      <w:tr>
        <w:trPr>
          <w:trHeight w:val="263"/>
        </w:trPr>
        <w:tc>
          <w:tcPr>
            <w:tcW w:w="5300" w:type="dxa"/>
            <w:vAlign w:val="bottom"/>
          </w:tcPr>
          <w:p>
            <w:pPr>
              <w:ind w:left="280"/>
              <w:spacing w:after="0"/>
              <w:rPr>
                <w:sz w:val="20"/>
                <w:szCs w:val="20"/>
                <w:color w:val="auto"/>
              </w:rPr>
            </w:pPr>
            <w:r>
              <w:rPr>
                <w:rFonts w:ascii="Arial" w:cs="Arial" w:eastAsia="Arial" w:hAnsi="Arial"/>
                <w:sz w:val="18"/>
                <w:szCs w:val="18"/>
                <w:color w:val="auto"/>
              </w:rPr>
              <w:t>Performance shares granted</w:t>
            </w:r>
          </w:p>
        </w:tc>
        <w:tc>
          <w:tcPr>
            <w:tcW w:w="36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2240" w:type="dxa"/>
            <w:vAlign w:val="bottom"/>
          </w:tcPr>
          <w:p>
            <w:pPr>
              <w:jc w:val="right"/>
              <w:ind w:right="14"/>
              <w:spacing w:after="0"/>
              <w:rPr>
                <w:sz w:val="20"/>
                <w:szCs w:val="20"/>
                <w:color w:val="auto"/>
              </w:rPr>
            </w:pPr>
            <w:r>
              <w:rPr>
                <w:rFonts w:ascii="Arial" w:cs="Arial" w:eastAsia="Arial" w:hAnsi="Arial"/>
                <w:sz w:val="18"/>
                <w:szCs w:val="18"/>
                <w:color w:val="auto"/>
              </w:rPr>
              <w:t>85.31</w:t>
            </w:r>
          </w:p>
        </w:tc>
      </w:tr>
      <w:tr>
        <w:trPr>
          <w:trHeight w:val="277"/>
        </w:trPr>
        <w:tc>
          <w:tcPr>
            <w:tcW w:w="53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Performance shares forfeited</w:t>
            </w:r>
          </w:p>
        </w:tc>
        <w:tc>
          <w:tcPr>
            <w:tcW w:w="3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4"/>
                <w:szCs w:val="24"/>
                <w:color w:val="auto"/>
              </w:rPr>
            </w:pP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64.62</w:t>
            </w:r>
          </w:p>
        </w:tc>
      </w:tr>
      <w:tr>
        <w:trPr>
          <w:trHeight w:val="263"/>
        </w:trPr>
        <w:tc>
          <w:tcPr>
            <w:tcW w:w="5300" w:type="dxa"/>
            <w:vAlign w:val="bottom"/>
          </w:tcPr>
          <w:p>
            <w:pPr>
              <w:ind w:left="280"/>
              <w:spacing w:after="0"/>
              <w:rPr>
                <w:sz w:val="20"/>
                <w:szCs w:val="20"/>
                <w:color w:val="auto"/>
              </w:rPr>
            </w:pPr>
            <w:r>
              <w:rPr>
                <w:rFonts w:ascii="Arial" w:cs="Arial" w:eastAsia="Arial" w:hAnsi="Arial"/>
                <w:sz w:val="18"/>
                <w:szCs w:val="18"/>
                <w:color w:val="auto"/>
              </w:rPr>
              <w:t>Performance shares vested</w:t>
            </w:r>
          </w:p>
        </w:tc>
        <w:tc>
          <w:tcPr>
            <w:tcW w:w="36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2240" w:type="dxa"/>
            <w:vAlign w:val="bottom"/>
          </w:tcPr>
          <w:p>
            <w:pPr>
              <w:jc w:val="right"/>
              <w:ind w:right="14"/>
              <w:spacing w:after="0"/>
              <w:rPr>
                <w:sz w:val="20"/>
                <w:szCs w:val="20"/>
                <w:color w:val="auto"/>
              </w:rPr>
            </w:pPr>
            <w:r>
              <w:rPr>
                <w:rFonts w:ascii="Arial" w:cs="Arial" w:eastAsia="Arial" w:hAnsi="Arial"/>
                <w:sz w:val="18"/>
                <w:szCs w:val="18"/>
                <w:color w:val="auto"/>
              </w:rPr>
              <w:t>53.34</w:t>
            </w:r>
          </w:p>
        </w:tc>
      </w:tr>
      <w:tr>
        <w:trPr>
          <w:trHeight w:val="270"/>
        </w:trPr>
        <w:tc>
          <w:tcPr>
            <w:tcW w:w="53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shares adjustment</w:t>
            </w:r>
          </w:p>
        </w:tc>
        <w:tc>
          <w:tcPr>
            <w:tcW w:w="360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3"/>
                <w:szCs w:val="23"/>
                <w:color w:val="auto"/>
              </w:rPr>
            </w:pP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3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Unvested performance shares at February 1, 2019</w:t>
            </w:r>
          </w:p>
        </w:tc>
        <w:tc>
          <w:tcPr>
            <w:tcW w:w="360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B4C9B"/>
              </w:rPr>
              <w:t>0.1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2240" w:type="dxa"/>
            <w:vAlign w:val="bottom"/>
          </w:tcPr>
          <w:p>
            <w:pPr>
              <w:jc w:val="right"/>
              <w:ind w:right="14"/>
              <w:spacing w:after="0"/>
              <w:rPr>
                <w:sz w:val="20"/>
                <w:szCs w:val="20"/>
                <w:color w:val="auto"/>
              </w:rPr>
            </w:pPr>
            <w:r>
              <w:rPr>
                <w:rFonts w:ascii="Arial" w:cs="Arial" w:eastAsia="Arial" w:hAnsi="Arial"/>
                <w:sz w:val="18"/>
                <w:szCs w:val="18"/>
                <w:b w:val="1"/>
                <w:bCs w:val="1"/>
                <w:color w:val="2B4C9B"/>
              </w:rPr>
              <w:t>79.12</w:t>
            </w:r>
          </w:p>
        </w:tc>
      </w:tr>
    </w:tbl>
    <w:p>
      <w:pPr>
        <w:spacing w:after="0" w:line="1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actual number of shares to be issued upon vesting range between 0-150% of the specified target shares. The number of performance shares are presented at 100% of the specified target shares in the table above, except for performance shares that vested and performance shares adjustment. Performance shares vested reflects the number of shares to be issued based on the actual achievement of the performance goals for shares that vested during the period. Performance shares adjustment reflects the increase or decrease in the number of performance shares vested compared to the number of performance shares that would have vested at target. The fair value of performance share awards that vested in fiscal 2019 was $3 million. For unvested performance shares as of February 1, 2019 the Company expects to issue 0.1 million shares of stock in the future based on estimated future achievement of the performance goals. The grant date fair value of the performance share awards granted for fiscal 2019, fiscal 2018, and fiscal 2017 was $85.31, $72.91 and $53.34, respectively. The grant date fair value of performance share awards is based on the closing market price of the Company’s common stock on the last trading day preceding the grant date. As of February 1, 2019 there was $5.7 million of unrecognized compensation cost, net of estimated forfeitures, related to performance share awards, which is expected to be recognized over a weighted average period of 1.7 years.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F-30</w:t>
      </w:r>
    </w:p>
    <w:p>
      <w:pPr>
        <w:sectPr>
          <w:pgSz w:w="11900" w:h="16838" w:orient="portrait"/>
          <w:cols w:equalWidth="0" w:num="1">
            <w:col w:w="11420"/>
          </w:cols>
          <w:pgMar w:left="240" w:top="141"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8—Retirement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Contribution Plans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sponsors the Science Applications International Corporation Retirement Plan (a qualified defined contribution 401(k) plan) and an employee stock ownership plan, in which most employees are eligible to participate. Engility sponsors the Engility Master Savings Plan, which is a 401(k) plan in which most employees of Engility are eligible to participate. There are a variety of investment options available under the 401(k) plans, including the Company's stock.</w:t>
      </w:r>
    </w:p>
    <w:p>
      <w:pPr>
        <w:spacing w:after="0" w:line="177"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color w:val="auto"/>
        </w:rPr>
        <w:t>The Science Applications International Corporation Retirement Plan allows eligible participants to contribute a portion of their income through payroll deductions and the Company makes matching company contributions and may also make discretionary contributions. The Company contributions expensed for defined contribution plans were $46 million, $42 million and $48 million in fiscal 2019, 2018 and 2017,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Compensation Plans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established the Science Applications International Corporation Deferred Compensation Plan (DCP), effective January 1, 2015, providing certain eligible employees and directors an opportunity to defer some or all of their compensation on an unfunded, nonqualified basis. Participant deferrals are fully vested and diversified at the participant’s direction among the investment options offered under the DCP. Participant accounts will be credited with a rate of return based on the performance of the investment options selected. Distributions are made in cash. Deferred balances will be paid on retirement, based on the participant’s payout election, or upon termination. The Company may provide discretionary contributions to participants, but no Company contributions have been made.</w:t>
      </w:r>
    </w:p>
    <w:p>
      <w:pPr>
        <w:spacing w:after="0" w:line="1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Science Applications International Corporation Key Executive Stock Deferral Plan (KESDP) was closed on December 31, 2014, and no further deferrals are allowed. Benefits from the KESDP are payable in shares of the Company’s stock that may be held in trust for the purpose of funding benefit payments to KESDP participants. Vested deferred balances will generally be paid on retirement, based on the participant’s payout election, or upon termination.</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Science Applications International Corporation 401(k) Excess Deferral Plan (Excess Plan) was also closed on December 31, 2014, and no further deferrals are allowed. Participant deferrals are fully vested and diversified at the participant’s direction among the investment options offered under the Excess Plan. Deferred balances will generally be paid following retirement or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Benefit Plans</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acquisition of Engility on January 14, 2019, SAIC assumed two defined benefit pension plans sponsored by Engility for certain current and former employees: a Retiree Health Reimbursement Account Plan (RHRA Benefit Plan) and a Defined Benefit Pension Plan (Pension Plan). Membership and participants' calculated pension benefit are frozen in the Pension Plan and membership in the RHRA is frozen.</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a valuation analysis, we recognized a $37 million liability on January 14, 2019 for the unfunded status of the Engility pension plans, reflecting projected benefit obligations of $86 million, in excess of the $49 million fair value of plan assets. The Company recognized no gain or loss related to changes in the benefit obligation during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Net Periodic Pension Costs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Due to the proximity of the acquisition to our fiscal year end, there was no net periodic benefit costs recognized during the year ended February 1, 2019.</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F-31</w:t>
      </w:r>
    </w:p>
    <w:p>
      <w:pPr>
        <w:sectPr>
          <w:pgSz w:w="11900" w:h="16838" w:orient="portrait"/>
          <w:cols w:equalWidth="0" w:num="1">
            <w:col w:w="11400"/>
          </w:cols>
          <w:pgMar w:left="240" w:top="141" w:right="259" w:bottom="1440" w:gutter="0" w:footer="0" w:header="0"/>
        </w:sectPr>
      </w:pPr>
    </w:p>
    <w:bookmarkStart w:id="77" w:name="page78"/>
    <w:bookmarkEnd w:id="7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Obligations and Funded Status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980" w:type="dxa"/>
            <w:vAlign w:val="bottom"/>
            <w:tcBorders>
              <w:bottom w:val="single" w:sz="8" w:color="2B4C9B"/>
            </w:tcBorders>
            <w:gridSpan w:val="3"/>
          </w:tcPr>
          <w:p>
            <w:pPr>
              <w:jc w:val="center"/>
              <w:ind w:left="757"/>
              <w:spacing w:after="0"/>
              <w:rPr>
                <w:sz w:val="20"/>
                <w:szCs w:val="20"/>
                <w:color w:val="auto"/>
              </w:rPr>
            </w:pPr>
            <w:r>
              <w:rPr>
                <w:rFonts w:ascii="Arial" w:cs="Arial" w:eastAsia="Arial" w:hAnsi="Arial"/>
                <w:sz w:val="14"/>
                <w:szCs w:val="14"/>
                <w:b w:val="1"/>
                <w:bCs w:val="1"/>
                <w:color w:val="2B4C9B"/>
              </w:rPr>
              <w:t>February 1, 2019</w:t>
            </w:r>
          </w:p>
        </w:tc>
        <w:tc>
          <w:tcPr>
            <w:tcW w:w="800" w:type="dxa"/>
            <w:vAlign w:val="bottom"/>
            <w:tcBorders>
              <w:bottom w:val="single" w:sz="8" w:color="2B4C9B"/>
            </w:tcBorders>
          </w:tcPr>
          <w:p>
            <w:pPr>
              <w:spacing w:after="0"/>
              <w:rPr>
                <w:sz w:val="17"/>
                <w:szCs w:val="17"/>
                <w:color w:val="auto"/>
              </w:rPr>
            </w:pPr>
          </w:p>
        </w:tc>
      </w:tr>
      <w:tr>
        <w:trPr>
          <w:trHeight w:val="264"/>
        </w:trPr>
        <w:tc>
          <w:tcPr>
            <w:tcW w:w="7640" w:type="dxa"/>
            <w:vAlign w:val="bottom"/>
            <w:tcBorders>
              <w:bottom w:val="single" w:sz="8" w:color="2B4C9B"/>
            </w:tcBorders>
          </w:tcPr>
          <w:p>
            <w:pPr>
              <w:spacing w:after="0"/>
              <w:rPr>
                <w:sz w:val="22"/>
                <w:szCs w:val="22"/>
                <w:color w:val="auto"/>
              </w:rPr>
            </w:pP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Pension Plan</w:t>
            </w:r>
          </w:p>
        </w:tc>
        <w:tc>
          <w:tcPr>
            <w:tcW w:w="400" w:type="dxa"/>
            <w:vAlign w:val="bottom"/>
            <w:tcBorders>
              <w:bottom w:val="single" w:sz="8" w:color="2B4C9B"/>
            </w:tcBorders>
          </w:tcPr>
          <w:p>
            <w:pPr>
              <w:spacing w:after="0"/>
              <w:rPr>
                <w:sz w:val="22"/>
                <w:szCs w:val="22"/>
                <w:color w:val="auto"/>
              </w:rPr>
            </w:pPr>
          </w:p>
        </w:tc>
        <w:tc>
          <w:tcPr>
            <w:tcW w:w="1940" w:type="dxa"/>
            <w:vAlign w:val="bottom"/>
            <w:tcBorders>
              <w:bottom w:val="single" w:sz="8" w:color="2B4C9B"/>
            </w:tcBorders>
            <w:gridSpan w:val="2"/>
          </w:tcPr>
          <w:p>
            <w:pPr>
              <w:jc w:val="right"/>
              <w:ind w:right="190"/>
              <w:spacing w:after="0"/>
              <w:rPr>
                <w:sz w:val="20"/>
                <w:szCs w:val="20"/>
                <w:color w:val="auto"/>
              </w:rPr>
            </w:pPr>
            <w:r>
              <w:rPr>
                <w:rFonts w:ascii="Arial" w:cs="Arial" w:eastAsia="Arial" w:hAnsi="Arial"/>
                <w:sz w:val="14"/>
                <w:szCs w:val="14"/>
                <w:b w:val="1"/>
                <w:bCs w:val="1"/>
                <w:color w:val="2B4C9B"/>
              </w:rPr>
              <w:t>RHRA Benefit Plan</w:t>
            </w:r>
          </w:p>
        </w:tc>
      </w:tr>
      <w:tr>
        <w:trPr>
          <w:trHeight w:val="258"/>
        </w:trPr>
        <w:tc>
          <w:tcPr>
            <w:tcW w:w="7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gridSpan w:val="2"/>
          </w:tcPr>
          <w:p>
            <w:pPr>
              <w:jc w:val="center"/>
              <w:ind w:right="5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r>
      <w:tr>
        <w:trPr>
          <w:trHeight w:val="275"/>
        </w:trPr>
        <w:tc>
          <w:tcPr>
            <w:tcW w:w="764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764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Benefit obligation at acquisition</w:t>
            </w:r>
          </w:p>
        </w:tc>
        <w:tc>
          <w:tcPr>
            <w:tcW w:w="1440" w:type="dxa"/>
            <w:vAlign w:val="bottom"/>
            <w:tcBorders>
              <w:bottom w:val="single" w:sz="8" w:color="2B4C9B"/>
            </w:tcBorders>
            <w:shd w:val="clear" w:color="auto" w:fill="CFF0FC"/>
          </w:tcPr>
          <w:p>
            <w:pPr>
              <w:jc w:val="right"/>
              <w:ind w:right="12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71</w:t>
            </w:r>
          </w:p>
        </w:tc>
        <w:tc>
          <w:tcPr>
            <w:tcW w:w="1140" w:type="dxa"/>
            <w:vAlign w:val="bottom"/>
            <w:tcBorders>
              <w:bottom w:val="single" w:sz="8" w:color="2B4C9B"/>
            </w:tcBorders>
            <w:shd w:val="clear" w:color="auto" w:fill="CFF0FC"/>
          </w:tcPr>
          <w:p>
            <w:pPr>
              <w:jc w:val="right"/>
              <w:ind w:right="81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Benefit obligation at end of year</w:t>
            </w:r>
          </w:p>
        </w:tc>
        <w:tc>
          <w:tcPr>
            <w:tcW w:w="1440" w:type="dxa"/>
            <w:vAlign w:val="bottom"/>
          </w:tcPr>
          <w:p>
            <w:pPr>
              <w:jc w:val="right"/>
              <w:ind w:right="1237"/>
              <w:spacing w:after="0"/>
              <w:rPr>
                <w:sz w:val="20"/>
                <w:szCs w:val="20"/>
                <w:color w:val="auto"/>
              </w:rPr>
            </w:pPr>
            <w:r>
              <w:rPr>
                <w:rFonts w:ascii="Arial" w:cs="Arial" w:eastAsia="Arial" w:hAnsi="Arial"/>
                <w:sz w:val="18"/>
                <w:szCs w:val="18"/>
                <w:b w:val="1"/>
                <w:bCs w:val="1"/>
                <w:color w:val="2B4C9B"/>
                <w:w w:val="99"/>
              </w:rPr>
              <w:t>$</w:t>
            </w:r>
          </w:p>
        </w:tc>
        <w:tc>
          <w:tcPr>
            <w:tcW w:w="400" w:type="dxa"/>
            <w:vAlign w:val="bottom"/>
          </w:tcPr>
          <w:p>
            <w:pPr>
              <w:jc w:val="right"/>
              <w:ind w:right="33"/>
              <w:spacing w:after="0"/>
              <w:rPr>
                <w:sz w:val="20"/>
                <w:szCs w:val="20"/>
                <w:color w:val="auto"/>
              </w:rPr>
            </w:pPr>
            <w:r>
              <w:rPr>
                <w:rFonts w:ascii="Arial" w:cs="Arial" w:eastAsia="Arial" w:hAnsi="Arial"/>
                <w:sz w:val="18"/>
                <w:szCs w:val="18"/>
                <w:b w:val="1"/>
                <w:bCs w:val="1"/>
                <w:color w:val="2B4C9B"/>
              </w:rPr>
              <w:t>71</w:t>
            </w:r>
          </w:p>
        </w:tc>
        <w:tc>
          <w:tcPr>
            <w:tcW w:w="1140" w:type="dxa"/>
            <w:vAlign w:val="bottom"/>
          </w:tcPr>
          <w:p>
            <w:pPr>
              <w:jc w:val="right"/>
              <w:ind w:right="814"/>
              <w:spacing w:after="0"/>
              <w:rPr>
                <w:sz w:val="20"/>
                <w:szCs w:val="20"/>
                <w:color w:val="auto"/>
              </w:rPr>
            </w:pPr>
            <w:r>
              <w:rPr>
                <w:rFonts w:ascii="Arial" w:cs="Arial" w:eastAsia="Arial" w:hAnsi="Arial"/>
                <w:sz w:val="18"/>
                <w:szCs w:val="18"/>
                <w:b w:val="1"/>
                <w:bCs w:val="1"/>
                <w:color w:val="2B4C9B"/>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2B4C9B"/>
              </w:rPr>
              <w:t>15</w:t>
            </w:r>
          </w:p>
        </w:tc>
      </w:tr>
      <w:tr>
        <w:trPr>
          <w:trHeight w:val="263"/>
        </w:trPr>
        <w:tc>
          <w:tcPr>
            <w:tcW w:w="7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Change in plan assets:</w:t>
            </w:r>
          </w:p>
        </w:tc>
        <w:tc>
          <w:tcPr>
            <w:tcW w:w="14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r>
      <w:tr>
        <w:trPr>
          <w:trHeight w:val="284"/>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Fair value of plan assets at acquisition</w:t>
            </w:r>
          </w:p>
        </w:tc>
        <w:tc>
          <w:tcPr>
            <w:tcW w:w="144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w:t>
            </w:r>
          </w:p>
        </w:tc>
        <w:tc>
          <w:tcPr>
            <w:tcW w:w="11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Employer contributions</w:t>
            </w:r>
          </w:p>
        </w:tc>
        <w:tc>
          <w:tcPr>
            <w:tcW w:w="1440" w:type="dxa"/>
            <w:vAlign w:val="bottom"/>
            <w:tcBorders>
              <w:bottom w:val="single" w:sz="8" w:color="2B4C9B"/>
            </w:tcBorders>
          </w:tcPr>
          <w:p>
            <w:pPr>
              <w:spacing w:after="0"/>
              <w:rPr>
                <w:sz w:val="22"/>
                <w:szCs w:val="22"/>
                <w:color w:val="auto"/>
              </w:rPr>
            </w:pPr>
          </w:p>
        </w:tc>
        <w:tc>
          <w:tcPr>
            <w:tcW w:w="40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1440" w:type="dxa"/>
            <w:vAlign w:val="bottom"/>
            <w:tcBorders>
              <w:bottom w:val="single" w:sz="8" w:color="2B4C9B"/>
            </w:tcBorders>
            <w:shd w:val="clear" w:color="auto" w:fill="CFF0FC"/>
          </w:tcPr>
          <w:p>
            <w:pPr>
              <w:jc w:val="right"/>
              <w:ind w:right="1237"/>
              <w:spacing w:after="0"/>
              <w:rPr>
                <w:sz w:val="20"/>
                <w:szCs w:val="20"/>
                <w:color w:val="auto"/>
              </w:rPr>
            </w:pPr>
            <w:r>
              <w:rPr>
                <w:rFonts w:ascii="Arial" w:cs="Arial" w:eastAsia="Arial" w:hAnsi="Arial"/>
                <w:sz w:val="18"/>
                <w:szCs w:val="18"/>
                <w:b w:val="1"/>
                <w:bCs w:val="1"/>
                <w:color w:val="2B4C9B"/>
                <w:w w:val="99"/>
              </w:rPr>
              <w:t>$</w:t>
            </w:r>
          </w:p>
        </w:tc>
        <w:tc>
          <w:tcPr>
            <w:tcW w:w="40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52</w:t>
            </w:r>
          </w:p>
        </w:tc>
        <w:tc>
          <w:tcPr>
            <w:tcW w:w="1140" w:type="dxa"/>
            <w:vAlign w:val="bottom"/>
            <w:tcBorders>
              <w:bottom w:val="single" w:sz="8" w:color="2B4C9B"/>
            </w:tcBorders>
            <w:shd w:val="clear" w:color="auto" w:fill="CFF0FC"/>
          </w:tcPr>
          <w:p>
            <w:pPr>
              <w:jc w:val="right"/>
              <w:ind w:right="814"/>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r>
      <w:tr>
        <w:trPr>
          <w:trHeight w:val="277"/>
        </w:trPr>
        <w:tc>
          <w:tcPr>
            <w:tcW w:w="76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Unfunded status</w:t>
            </w:r>
          </w:p>
        </w:tc>
        <w:tc>
          <w:tcPr>
            <w:tcW w:w="1440" w:type="dxa"/>
            <w:vAlign w:val="bottom"/>
            <w:tcBorders>
              <w:bottom w:val="single" w:sz="8" w:color="2B4C9B"/>
            </w:tcBorders>
          </w:tcPr>
          <w:p>
            <w:pPr>
              <w:jc w:val="right"/>
              <w:ind w:right="1237"/>
              <w:spacing w:after="0"/>
              <w:rPr>
                <w:sz w:val="20"/>
                <w:szCs w:val="20"/>
                <w:color w:val="auto"/>
              </w:rPr>
            </w:pPr>
            <w:r>
              <w:rPr>
                <w:rFonts w:ascii="Arial" w:cs="Arial" w:eastAsia="Arial" w:hAnsi="Arial"/>
                <w:sz w:val="18"/>
                <w:szCs w:val="18"/>
                <w:b w:val="1"/>
                <w:bCs w:val="1"/>
                <w:color w:val="2B4C9B"/>
                <w:w w:val="99"/>
              </w:rPr>
              <w:t>$</w:t>
            </w:r>
          </w:p>
        </w:tc>
        <w:tc>
          <w:tcPr>
            <w:tcW w:w="40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19</w:t>
            </w:r>
          </w:p>
        </w:tc>
        <w:tc>
          <w:tcPr>
            <w:tcW w:w="1140" w:type="dxa"/>
            <w:vAlign w:val="bottom"/>
            <w:tcBorders>
              <w:bottom w:val="single" w:sz="8" w:color="2B4C9B"/>
            </w:tcBorders>
          </w:tcPr>
          <w:p>
            <w:pPr>
              <w:jc w:val="right"/>
              <w:ind w:right="814"/>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15</w:t>
            </w:r>
          </w:p>
        </w:tc>
      </w:tr>
      <w:tr>
        <w:trPr>
          <w:trHeight w:val="392"/>
        </w:trPr>
        <w:tc>
          <w:tcPr>
            <w:tcW w:w="7640" w:type="dxa"/>
            <w:vAlign w:val="bottom"/>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9"/>
        </w:trPr>
        <w:tc>
          <w:tcPr>
            <w:tcW w:w="7640" w:type="dxa"/>
            <w:vAlign w:val="bottom"/>
          </w:tcPr>
          <w:p>
            <w:pPr>
              <w:spacing w:after="0"/>
              <w:rPr>
                <w:sz w:val="24"/>
                <w:szCs w:val="24"/>
                <w:color w:val="auto"/>
              </w:rPr>
            </w:pPr>
          </w:p>
        </w:tc>
        <w:tc>
          <w:tcPr>
            <w:tcW w:w="2980" w:type="dxa"/>
            <w:vAlign w:val="bottom"/>
            <w:tcBorders>
              <w:bottom w:val="single" w:sz="8" w:color="2B4C9B"/>
            </w:tcBorders>
            <w:gridSpan w:val="3"/>
          </w:tcPr>
          <w:p>
            <w:pPr>
              <w:jc w:val="center"/>
              <w:ind w:left="757"/>
              <w:spacing w:after="0"/>
              <w:rPr>
                <w:sz w:val="20"/>
                <w:szCs w:val="20"/>
                <w:color w:val="auto"/>
              </w:rPr>
            </w:pPr>
            <w:r>
              <w:rPr>
                <w:rFonts w:ascii="Arial" w:cs="Arial" w:eastAsia="Arial" w:hAnsi="Arial"/>
                <w:sz w:val="14"/>
                <w:szCs w:val="14"/>
                <w:b w:val="1"/>
                <w:bCs w:val="1"/>
                <w:color w:val="2B4C9B"/>
              </w:rPr>
              <w:t>February 1, 2019</w:t>
            </w:r>
          </w:p>
        </w:tc>
        <w:tc>
          <w:tcPr>
            <w:tcW w:w="800" w:type="dxa"/>
            <w:vAlign w:val="bottom"/>
            <w:tcBorders>
              <w:bottom w:val="single" w:sz="8" w:color="2B4C9B"/>
            </w:tcBorders>
          </w:tcPr>
          <w:p>
            <w:pPr>
              <w:spacing w:after="0"/>
              <w:rPr>
                <w:sz w:val="24"/>
                <w:szCs w:val="24"/>
                <w:color w:val="auto"/>
              </w:rPr>
            </w:pPr>
          </w:p>
        </w:tc>
      </w:tr>
      <w:tr>
        <w:trPr>
          <w:trHeight w:val="264"/>
        </w:trPr>
        <w:tc>
          <w:tcPr>
            <w:tcW w:w="7640" w:type="dxa"/>
            <w:vAlign w:val="bottom"/>
            <w:tcBorders>
              <w:bottom w:val="single" w:sz="8" w:color="2B4C9B"/>
            </w:tcBorders>
          </w:tcPr>
          <w:p>
            <w:pPr>
              <w:spacing w:after="0"/>
              <w:rPr>
                <w:sz w:val="22"/>
                <w:szCs w:val="22"/>
                <w:color w:val="auto"/>
              </w:rPr>
            </w:pP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Pension Plan</w:t>
            </w:r>
          </w:p>
        </w:tc>
        <w:tc>
          <w:tcPr>
            <w:tcW w:w="400" w:type="dxa"/>
            <w:vAlign w:val="bottom"/>
            <w:tcBorders>
              <w:bottom w:val="single" w:sz="8" w:color="2B4C9B"/>
            </w:tcBorders>
          </w:tcPr>
          <w:p>
            <w:pPr>
              <w:spacing w:after="0"/>
              <w:rPr>
                <w:sz w:val="22"/>
                <w:szCs w:val="22"/>
                <w:color w:val="auto"/>
              </w:rPr>
            </w:pPr>
          </w:p>
        </w:tc>
        <w:tc>
          <w:tcPr>
            <w:tcW w:w="1940" w:type="dxa"/>
            <w:vAlign w:val="bottom"/>
            <w:tcBorders>
              <w:bottom w:val="single" w:sz="8" w:color="2B4C9B"/>
            </w:tcBorders>
            <w:gridSpan w:val="2"/>
          </w:tcPr>
          <w:p>
            <w:pPr>
              <w:jc w:val="right"/>
              <w:ind w:right="190"/>
              <w:spacing w:after="0"/>
              <w:rPr>
                <w:sz w:val="20"/>
                <w:szCs w:val="20"/>
                <w:color w:val="auto"/>
              </w:rPr>
            </w:pPr>
            <w:r>
              <w:rPr>
                <w:rFonts w:ascii="Arial" w:cs="Arial" w:eastAsia="Arial" w:hAnsi="Arial"/>
                <w:sz w:val="14"/>
                <w:szCs w:val="14"/>
                <w:b w:val="1"/>
                <w:bCs w:val="1"/>
                <w:color w:val="2B4C9B"/>
              </w:rPr>
              <w:t>RHRA Benefit Plan</w:t>
            </w:r>
          </w:p>
        </w:tc>
      </w:tr>
      <w:tr>
        <w:trPr>
          <w:trHeight w:val="264"/>
        </w:trPr>
        <w:tc>
          <w:tcPr>
            <w:tcW w:w="7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gridSpan w:val="2"/>
          </w:tcPr>
          <w:p>
            <w:pPr>
              <w:jc w:val="center"/>
              <w:ind w:right="5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r>
      <w:tr>
        <w:trPr>
          <w:trHeight w:val="276"/>
        </w:trPr>
        <w:tc>
          <w:tcPr>
            <w:tcW w:w="7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accrued liabilities</w:t>
            </w:r>
          </w:p>
        </w:tc>
        <w:tc>
          <w:tcPr>
            <w:tcW w:w="1440" w:type="dxa"/>
            <w:vAlign w:val="bottom"/>
            <w:shd w:val="clear" w:color="auto" w:fill="CFF0FC"/>
          </w:tcPr>
          <w:p>
            <w:pPr>
              <w:jc w:val="right"/>
              <w:ind w:right="1237"/>
              <w:spacing w:after="0"/>
              <w:rPr>
                <w:sz w:val="20"/>
                <w:szCs w:val="20"/>
                <w:color w:val="auto"/>
              </w:rPr>
            </w:pPr>
            <w:r>
              <w:rPr>
                <w:rFonts w:ascii="Arial" w:cs="Arial" w:eastAsia="Arial" w:hAnsi="Arial"/>
                <w:sz w:val="18"/>
                <w:szCs w:val="18"/>
                <w:b w:val="1"/>
                <w:bCs w:val="1"/>
                <w:color w:val="2B4C9B"/>
                <w:w w:val="99"/>
              </w:rPr>
              <w:t>$</w:t>
            </w:r>
          </w:p>
        </w:tc>
        <w:tc>
          <w:tcPr>
            <w:tcW w:w="4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814"/>
              <w:spacing w:after="0"/>
              <w:rPr>
                <w:sz w:val="20"/>
                <w:szCs w:val="20"/>
                <w:color w:val="auto"/>
              </w:rPr>
            </w:pPr>
            <w:r>
              <w:rPr>
                <w:rFonts w:ascii="Arial" w:cs="Arial" w:eastAsia="Arial" w:hAnsi="Arial"/>
                <w:sz w:val="18"/>
                <w:szCs w:val="18"/>
                <w:b w:val="1"/>
                <w:bCs w:val="1"/>
                <w:color w:val="2B4C9B"/>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w:t>
            </w:r>
          </w:p>
        </w:tc>
      </w:tr>
      <w:tr>
        <w:trPr>
          <w:trHeight w:val="264"/>
        </w:trPr>
        <w:tc>
          <w:tcPr>
            <w:tcW w:w="76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long-term liabilities</w:t>
            </w:r>
          </w:p>
        </w:tc>
        <w:tc>
          <w:tcPr>
            <w:tcW w:w="1440" w:type="dxa"/>
            <w:vAlign w:val="bottom"/>
            <w:tcBorders>
              <w:bottom w:val="single" w:sz="8" w:color="2B4C9B"/>
            </w:tcBorders>
          </w:tcPr>
          <w:p>
            <w:pPr>
              <w:spacing w:after="0"/>
              <w:rPr>
                <w:sz w:val="22"/>
                <w:szCs w:val="22"/>
                <w:color w:val="auto"/>
              </w:rPr>
            </w:pPr>
          </w:p>
        </w:tc>
        <w:tc>
          <w:tcPr>
            <w:tcW w:w="40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19</w:t>
            </w:r>
          </w:p>
        </w:tc>
        <w:tc>
          <w:tcPr>
            <w:tcW w:w="114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14</w:t>
            </w:r>
          </w:p>
        </w:tc>
      </w:tr>
      <w:tr>
        <w:trPr>
          <w:trHeight w:val="277"/>
        </w:trPr>
        <w:tc>
          <w:tcPr>
            <w:tcW w:w="7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amount recognized</w:t>
            </w:r>
          </w:p>
        </w:tc>
        <w:tc>
          <w:tcPr>
            <w:tcW w:w="1440" w:type="dxa"/>
            <w:vAlign w:val="bottom"/>
            <w:tcBorders>
              <w:bottom w:val="single" w:sz="8" w:color="2B4C9B"/>
            </w:tcBorders>
            <w:shd w:val="clear" w:color="auto" w:fill="CFF0FC"/>
          </w:tcPr>
          <w:p>
            <w:pPr>
              <w:jc w:val="right"/>
              <w:ind w:right="1237"/>
              <w:spacing w:after="0"/>
              <w:rPr>
                <w:sz w:val="20"/>
                <w:szCs w:val="20"/>
                <w:color w:val="auto"/>
              </w:rPr>
            </w:pPr>
            <w:r>
              <w:rPr>
                <w:rFonts w:ascii="Arial" w:cs="Arial" w:eastAsia="Arial" w:hAnsi="Arial"/>
                <w:sz w:val="18"/>
                <w:szCs w:val="18"/>
                <w:b w:val="1"/>
                <w:bCs w:val="1"/>
                <w:color w:val="2B4C9B"/>
                <w:w w:val="99"/>
              </w:rPr>
              <w:t>$</w:t>
            </w:r>
          </w:p>
        </w:tc>
        <w:tc>
          <w:tcPr>
            <w:tcW w:w="40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19</w:t>
            </w:r>
          </w:p>
        </w:tc>
        <w:tc>
          <w:tcPr>
            <w:tcW w:w="1140" w:type="dxa"/>
            <w:vAlign w:val="bottom"/>
            <w:tcBorders>
              <w:bottom w:val="single" w:sz="8" w:color="2B4C9B"/>
            </w:tcBorders>
            <w:shd w:val="clear" w:color="auto" w:fill="CFF0FC"/>
          </w:tcPr>
          <w:p>
            <w:pPr>
              <w:jc w:val="right"/>
              <w:ind w:right="814"/>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Assumptions</w:t>
      </w:r>
    </w:p>
    <w:p>
      <w:pPr>
        <w:spacing w:after="0" w:line="20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 uses the spot rate approach to measure interest costs for pension and postretirement benefits. Under the spot rate approach, the Company uses individual spot rates along the yield curve that correspond with the timing of each benefit payment.</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discount rates represent the estimated rate at which we could effectively settle our pension benefit obligations. In order to estimate this rate for the Pension Plan and the RHRA Benefit Plan, the timing of each benefit payment was matched against the individual spot rates along a yield curve to produce a single discount rate.</w:t>
      </w:r>
    </w:p>
    <w:p>
      <w:pPr>
        <w:spacing w:after="0" w:line="16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assumed long-term rate of return on plan assets, which is the average return expected on the funds invested or to be invested to provide future benefits to pension plan participants, is determined by an annual review of historical plan assets returns and consultation with outside investment advisers. In selecting the expected long-term rate of return on assets used for the Pension Plan, the Company considered its investment return goals stated in the Pension Plan's investment policy. The Company, with input from the Pension Plan's professional investment managers, also considered the average rate of earnings expected on the funds invested or to be invested to provide Pension Plan benefits. This process included determining expected returns for the various asset classes that comprise the Pension Plan's target asset allocation.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determine the benefit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3860" w:type="dxa"/>
            <w:vAlign w:val="bottom"/>
            <w:tcBorders>
              <w:bottom w:val="single" w:sz="8" w:color="2B4C9B"/>
            </w:tcBorders>
            <w:gridSpan w:val="2"/>
          </w:tcPr>
          <w:p>
            <w:pPr>
              <w:jc w:val="right"/>
              <w:ind w:right="1259"/>
              <w:spacing w:after="0"/>
              <w:rPr>
                <w:sz w:val="20"/>
                <w:szCs w:val="20"/>
                <w:color w:val="auto"/>
              </w:rPr>
            </w:pPr>
            <w:r>
              <w:rPr>
                <w:rFonts w:ascii="Arial" w:cs="Arial" w:eastAsia="Arial" w:hAnsi="Arial"/>
                <w:sz w:val="14"/>
                <w:szCs w:val="14"/>
                <w:b w:val="1"/>
                <w:bCs w:val="1"/>
                <w:color w:val="2B4C9B"/>
              </w:rPr>
              <w:t>February 1, 2019</w:t>
            </w:r>
          </w:p>
        </w:tc>
      </w:tr>
      <w:tr>
        <w:trPr>
          <w:trHeight w:val="264"/>
        </w:trPr>
        <w:tc>
          <w:tcPr>
            <w:tcW w:w="7560" w:type="dxa"/>
            <w:vAlign w:val="bottom"/>
            <w:tcBorders>
              <w:bottom w:val="single" w:sz="8" w:color="2B4C9B"/>
            </w:tcBorders>
          </w:tcPr>
          <w:p>
            <w:pPr>
              <w:spacing w:after="0"/>
              <w:rPr>
                <w:sz w:val="22"/>
                <w:szCs w:val="22"/>
                <w:color w:val="auto"/>
              </w:rPr>
            </w:pPr>
          </w:p>
        </w:tc>
        <w:tc>
          <w:tcPr>
            <w:tcW w:w="2060" w:type="dxa"/>
            <w:vAlign w:val="bottom"/>
            <w:tcBorders>
              <w:bottom w:val="single" w:sz="8" w:color="2B4C9B"/>
            </w:tcBorders>
          </w:tcPr>
          <w:p>
            <w:pPr>
              <w:jc w:val="right"/>
              <w:ind w:right="602"/>
              <w:spacing w:after="0"/>
              <w:rPr>
                <w:sz w:val="20"/>
                <w:szCs w:val="20"/>
                <w:color w:val="auto"/>
              </w:rPr>
            </w:pPr>
            <w:r>
              <w:rPr>
                <w:rFonts w:ascii="Arial" w:cs="Arial" w:eastAsia="Arial" w:hAnsi="Arial"/>
                <w:sz w:val="14"/>
                <w:szCs w:val="14"/>
                <w:b w:val="1"/>
                <w:bCs w:val="1"/>
                <w:color w:val="2B4C9B"/>
              </w:rPr>
              <w:t>Pension Plan</w:t>
            </w:r>
          </w:p>
        </w:tc>
        <w:tc>
          <w:tcPr>
            <w:tcW w:w="1800" w:type="dxa"/>
            <w:vAlign w:val="bottom"/>
            <w:tcBorders>
              <w:bottom w:val="single" w:sz="8" w:color="2B4C9B"/>
            </w:tcBorders>
          </w:tcPr>
          <w:p>
            <w:pPr>
              <w:jc w:val="right"/>
              <w:ind w:right="219"/>
              <w:spacing w:after="0"/>
              <w:rPr>
                <w:sz w:val="20"/>
                <w:szCs w:val="20"/>
                <w:color w:val="auto"/>
              </w:rPr>
            </w:pPr>
            <w:r>
              <w:rPr>
                <w:rFonts w:ascii="Arial" w:cs="Arial" w:eastAsia="Arial" w:hAnsi="Arial"/>
                <w:sz w:val="14"/>
                <w:szCs w:val="14"/>
                <w:b w:val="1"/>
                <w:bCs w:val="1"/>
                <w:color w:val="2B4C9B"/>
              </w:rPr>
              <w:t>RHRA Benefit Plan</w:t>
            </w:r>
          </w:p>
        </w:tc>
      </w:tr>
      <w:tr>
        <w:trPr>
          <w:trHeight w:val="270"/>
        </w:trPr>
        <w:tc>
          <w:tcPr>
            <w:tcW w:w="7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FF0FC"/>
          </w:tcPr>
          <w:p>
            <w:pPr>
              <w:jc w:val="right"/>
              <w:ind w:right="142"/>
              <w:spacing w:after="0"/>
              <w:rPr>
                <w:sz w:val="20"/>
                <w:szCs w:val="20"/>
                <w:color w:val="auto"/>
              </w:rPr>
            </w:pPr>
            <w:r>
              <w:rPr>
                <w:rFonts w:ascii="Arial" w:cs="Arial" w:eastAsia="Arial" w:hAnsi="Arial"/>
                <w:sz w:val="18"/>
                <w:szCs w:val="18"/>
                <w:b w:val="1"/>
                <w:bCs w:val="1"/>
                <w:color w:val="2B4C9B"/>
              </w:rPr>
              <w:t>4.06%</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3.82%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Pension Plan Assets</w:t>
      </w:r>
    </w:p>
    <w:p>
      <w:pPr>
        <w:spacing w:after="0" w:line="20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Company's investment policy includes a periodic review of the Pension Plan's investment in the various asset classes. During 2019, the Company's overall investment strategy is for plan assets to achieve a long-term rate of return of 5.50%, with a wide diversification of asset types, fund strategies and fund managers. The target allocation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F-32</w:t>
      </w:r>
    </w:p>
    <w:p>
      <w:pPr>
        <w:sectPr>
          <w:pgSz w:w="11900" w:h="16838" w:orient="portrait"/>
          <w:cols w:equalWidth="0" w:num="1">
            <w:col w:w="11420"/>
          </w:cols>
          <w:pgMar w:left="240" w:top="141" w:right="239" w:bottom="775" w:gutter="0" w:footer="0" w:header="0"/>
        </w:sectPr>
      </w:pPr>
    </w:p>
    <w:bookmarkStart w:id="78" w:name="page79"/>
    <w:bookmarkEnd w:id="7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plan assets is 44% in domestic equity securities, 20% international equity, 31% in fixed income securities, and 5% in a liquid cash equivalent option. The risk management practices include regular evaluations of fund managers to ensure the risk assumed is commensurate with the given investment style and objectives. According to the plan's investment policy, performance will be evaluated across all time periods, with a particular emphasis on longer-term returns relative to associated peers and benchmarks.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plan asset by category at February 1, 2019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480" w:type="dxa"/>
            <w:vAlign w:val="bottom"/>
            <w:tcBorders>
              <w:bottom w:val="single" w:sz="8" w:color="2B4C9B"/>
            </w:tcBorders>
          </w:tcPr>
          <w:p>
            <w:pPr>
              <w:spacing w:after="0"/>
              <w:rPr>
                <w:sz w:val="17"/>
                <w:szCs w:val="17"/>
                <w:color w:val="auto"/>
              </w:rPr>
            </w:pPr>
          </w:p>
        </w:tc>
        <w:tc>
          <w:tcPr>
            <w:tcW w:w="80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96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ind w:left="20"/>
              <w:spacing w:after="0"/>
              <w:rPr>
                <w:sz w:val="20"/>
                <w:szCs w:val="20"/>
                <w:color w:val="auto"/>
              </w:rPr>
            </w:pPr>
            <w:r>
              <w:rPr>
                <w:rFonts w:ascii="Arial" w:cs="Arial" w:eastAsia="Arial" w:hAnsi="Arial"/>
                <w:sz w:val="14"/>
                <w:szCs w:val="14"/>
                <w:b w:val="1"/>
                <w:bCs w:val="1"/>
                <w:color w:val="2B4C9B"/>
              </w:rPr>
              <w:t>February 1, 2019</w:t>
            </w:r>
          </w:p>
        </w:tc>
        <w:tc>
          <w:tcPr>
            <w:tcW w:w="1200" w:type="dxa"/>
            <w:vAlign w:val="bottom"/>
            <w:tcBorders>
              <w:bottom w:val="single" w:sz="8" w:color="2B4C9B"/>
            </w:tcBorders>
          </w:tcPr>
          <w:p>
            <w:pPr>
              <w:spacing w:after="0"/>
              <w:rPr>
                <w:sz w:val="17"/>
                <w:szCs w:val="17"/>
                <w:color w:val="auto"/>
              </w:rPr>
            </w:pPr>
          </w:p>
        </w:tc>
        <w:tc>
          <w:tcPr>
            <w:tcW w:w="320" w:type="dxa"/>
            <w:vAlign w:val="bottom"/>
            <w:tcBorders>
              <w:bottom w:val="single" w:sz="8" w:color="2B4C9B"/>
            </w:tcBorders>
          </w:tcPr>
          <w:p>
            <w:pPr>
              <w:spacing w:after="0"/>
              <w:rPr>
                <w:sz w:val="17"/>
                <w:szCs w:val="17"/>
                <w:color w:val="auto"/>
              </w:rPr>
            </w:pPr>
          </w:p>
        </w:tc>
        <w:tc>
          <w:tcPr>
            <w:tcW w:w="1940" w:type="dxa"/>
            <w:vAlign w:val="bottom"/>
            <w:tcBorders>
              <w:bottom w:val="single" w:sz="8" w:color="2B4C9B"/>
            </w:tcBorders>
          </w:tcPr>
          <w:p>
            <w:pPr>
              <w:spacing w:after="0"/>
              <w:rPr>
                <w:sz w:val="17"/>
                <w:szCs w:val="17"/>
                <w:color w:val="auto"/>
              </w:rPr>
            </w:pPr>
          </w:p>
        </w:tc>
      </w:tr>
      <w:tr>
        <w:trPr>
          <w:trHeight w:val="175"/>
        </w:trPr>
        <w:tc>
          <w:tcPr>
            <w:tcW w:w="3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2B4C9B"/>
              </w:rPr>
              <w:t>Quoted Prices in Active</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62"/>
        </w:trPr>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2B4C9B"/>
              </w:rPr>
              <w:t>Markets for Identical Assets</w:t>
            </w:r>
          </w:p>
        </w:tc>
        <w:tc>
          <w:tcPr>
            <w:tcW w:w="23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2B4C9B"/>
              </w:rPr>
              <w:t>Significant Other Observable</w:t>
            </w:r>
          </w:p>
        </w:tc>
        <w:tc>
          <w:tcPr>
            <w:tcW w:w="320" w:type="dxa"/>
            <w:vAlign w:val="bottom"/>
          </w:tcPr>
          <w:p>
            <w:pPr>
              <w:spacing w:after="0"/>
              <w:rPr>
                <w:sz w:val="14"/>
                <w:szCs w:val="14"/>
                <w:color w:val="auto"/>
              </w:rPr>
            </w:pPr>
          </w:p>
        </w:tc>
        <w:tc>
          <w:tcPr>
            <w:tcW w:w="1940" w:type="dxa"/>
            <w:vAlign w:val="bottom"/>
          </w:tcPr>
          <w:p>
            <w:pPr>
              <w:jc w:val="right"/>
              <w:ind w:right="17"/>
              <w:spacing w:after="0"/>
              <w:rPr>
                <w:sz w:val="20"/>
                <w:szCs w:val="20"/>
                <w:color w:val="auto"/>
              </w:rPr>
            </w:pPr>
            <w:r>
              <w:rPr>
                <w:rFonts w:ascii="Arial" w:cs="Arial" w:eastAsia="Arial" w:hAnsi="Arial"/>
                <w:sz w:val="14"/>
                <w:szCs w:val="14"/>
                <w:b w:val="1"/>
                <w:bCs w:val="1"/>
                <w:color w:val="2B4C9B"/>
              </w:rPr>
              <w:t>Significant Unobservable</w:t>
            </w:r>
          </w:p>
        </w:tc>
      </w:tr>
      <w:tr>
        <w:trPr>
          <w:trHeight w:val="196"/>
        </w:trPr>
        <w:tc>
          <w:tcPr>
            <w:tcW w:w="3300" w:type="dxa"/>
            <w:vAlign w:val="bottom"/>
            <w:tcBorders>
              <w:bottom w:val="single" w:sz="8" w:color="2B4C9B"/>
            </w:tcBorders>
          </w:tcPr>
          <w:p>
            <w:pPr>
              <w:ind w:left="40"/>
              <w:spacing w:after="0"/>
              <w:rPr>
                <w:sz w:val="20"/>
                <w:szCs w:val="20"/>
                <w:color w:val="auto"/>
              </w:rPr>
            </w:pPr>
            <w:r>
              <w:rPr>
                <w:rFonts w:ascii="Arial" w:cs="Arial" w:eastAsia="Arial" w:hAnsi="Arial"/>
                <w:sz w:val="14"/>
                <w:szCs w:val="14"/>
                <w:b w:val="1"/>
                <w:bCs w:val="1"/>
                <w:color w:val="2B4C9B"/>
              </w:rPr>
              <w:t>Asset Category</w:t>
            </w:r>
          </w:p>
        </w:tc>
        <w:tc>
          <w:tcPr>
            <w:tcW w:w="480" w:type="dxa"/>
            <w:vAlign w:val="bottom"/>
            <w:tcBorders>
              <w:bottom w:val="single" w:sz="8" w:color="2B4C9B"/>
            </w:tcBorders>
          </w:tcPr>
          <w:p>
            <w:pPr>
              <w:spacing w:after="0"/>
              <w:rPr>
                <w:sz w:val="17"/>
                <w:szCs w:val="17"/>
                <w:color w:val="auto"/>
              </w:rPr>
            </w:pPr>
          </w:p>
        </w:tc>
        <w:tc>
          <w:tcPr>
            <w:tcW w:w="80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b w:val="1"/>
                <w:bCs w:val="1"/>
                <w:color w:val="2B4C9B"/>
              </w:rPr>
              <w:t>Total</w:t>
            </w:r>
          </w:p>
        </w:tc>
        <w:tc>
          <w:tcPr>
            <w:tcW w:w="240" w:type="dxa"/>
            <w:vAlign w:val="bottom"/>
            <w:tcBorders>
              <w:bottom w:val="single" w:sz="8" w:color="2B4C9B"/>
            </w:tcBorders>
          </w:tcPr>
          <w:p>
            <w:pPr>
              <w:spacing w:after="0"/>
              <w:rPr>
                <w:sz w:val="17"/>
                <w:szCs w:val="17"/>
                <w:color w:val="auto"/>
              </w:rPr>
            </w:pPr>
          </w:p>
        </w:tc>
        <w:tc>
          <w:tcPr>
            <w:tcW w:w="19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(Level 1)</w:t>
            </w:r>
          </w:p>
        </w:tc>
        <w:tc>
          <w:tcPr>
            <w:tcW w:w="118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54"/>
              <w:spacing w:after="0"/>
              <w:rPr>
                <w:sz w:val="20"/>
                <w:szCs w:val="20"/>
                <w:color w:val="auto"/>
              </w:rPr>
            </w:pPr>
            <w:r>
              <w:rPr>
                <w:rFonts w:ascii="Arial" w:cs="Arial" w:eastAsia="Arial" w:hAnsi="Arial"/>
                <w:sz w:val="14"/>
                <w:szCs w:val="14"/>
                <w:b w:val="1"/>
                <w:bCs w:val="1"/>
                <w:color w:val="2B4C9B"/>
              </w:rPr>
              <w:t>Inputs (Level 2)</w:t>
            </w:r>
          </w:p>
        </w:tc>
        <w:tc>
          <w:tcPr>
            <w:tcW w:w="320" w:type="dxa"/>
            <w:vAlign w:val="bottom"/>
            <w:tcBorders>
              <w:bottom w:val="single" w:sz="8" w:color="2B4C9B"/>
            </w:tcBorders>
          </w:tcPr>
          <w:p>
            <w:pPr>
              <w:spacing w:after="0"/>
              <w:rPr>
                <w:sz w:val="17"/>
                <w:szCs w:val="17"/>
                <w:color w:val="auto"/>
              </w:rPr>
            </w:pPr>
          </w:p>
        </w:tc>
        <w:tc>
          <w:tcPr>
            <w:tcW w:w="1940" w:type="dxa"/>
            <w:vAlign w:val="bottom"/>
            <w:tcBorders>
              <w:bottom w:val="single" w:sz="8" w:color="2B4C9B"/>
            </w:tcBorders>
          </w:tcPr>
          <w:p>
            <w:pPr>
              <w:jc w:val="right"/>
              <w:ind w:right="17"/>
              <w:spacing w:after="0"/>
              <w:rPr>
                <w:sz w:val="20"/>
                <w:szCs w:val="20"/>
                <w:color w:val="auto"/>
              </w:rPr>
            </w:pPr>
            <w:r>
              <w:rPr>
                <w:rFonts w:ascii="Arial" w:cs="Arial" w:eastAsia="Arial" w:hAnsi="Arial"/>
                <w:sz w:val="14"/>
                <w:szCs w:val="14"/>
                <w:b w:val="1"/>
                <w:bCs w:val="1"/>
                <w:color w:val="2B4C9B"/>
              </w:rPr>
              <w:t>Inputs (Level 3)</w:t>
            </w:r>
          </w:p>
        </w:tc>
      </w:tr>
      <w:tr>
        <w:trPr>
          <w:trHeight w:val="264"/>
        </w:trPr>
        <w:tc>
          <w:tcPr>
            <w:tcW w:w="3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180" w:type="dxa"/>
            <w:vAlign w:val="bottom"/>
          </w:tcPr>
          <w:p>
            <w:pPr>
              <w:ind w:left="240"/>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6"/>
        </w:trPr>
        <w:tc>
          <w:tcPr>
            <w:tcW w:w="3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Mutual funds</w:t>
            </w:r>
          </w:p>
        </w:tc>
        <w:tc>
          <w:tcPr>
            <w:tcW w:w="48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2B4C9B"/>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49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49</w:t>
            </w:r>
          </w:p>
        </w:tc>
        <w:tc>
          <w:tcPr>
            <w:tcW w:w="1180" w:type="dxa"/>
            <w:vAlign w:val="bottom"/>
            <w:shd w:val="clear" w:color="auto" w:fill="CFF0FC"/>
          </w:tcPr>
          <w:p>
            <w:pPr>
              <w:ind w:left="220"/>
              <w:spacing w:after="0"/>
              <w:rPr>
                <w:sz w:val="20"/>
                <w:szCs w:val="20"/>
                <w:color w:val="auto"/>
              </w:rPr>
            </w:pPr>
            <w:r>
              <w:rPr>
                <w:rFonts w:ascii="Arial" w:cs="Arial" w:eastAsia="Arial" w:hAnsi="Arial"/>
                <w:sz w:val="18"/>
                <w:szCs w:val="18"/>
                <w:b w:val="1"/>
                <w:bCs w:val="1"/>
                <w:color w:val="2B4C9B"/>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940" w:type="dxa"/>
            <w:vAlign w:val="bottom"/>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w:t>
            </w:r>
          </w:p>
        </w:tc>
      </w:tr>
      <w:tr>
        <w:trPr>
          <w:trHeight w:val="264"/>
        </w:trPr>
        <w:tc>
          <w:tcPr>
            <w:tcW w:w="33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Guaranteed deposit account</w:t>
            </w:r>
          </w:p>
        </w:tc>
        <w:tc>
          <w:tcPr>
            <w:tcW w:w="48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3</w:t>
            </w:r>
          </w:p>
        </w:tc>
        <w:tc>
          <w:tcPr>
            <w:tcW w:w="240" w:type="dxa"/>
            <w:vAlign w:val="bottom"/>
            <w:tcBorders>
              <w:bottom w:val="single" w:sz="8" w:color="2B4C9B"/>
            </w:tcBorders>
          </w:tcPr>
          <w:p>
            <w:pPr>
              <w:spacing w:after="0"/>
              <w:rPr>
                <w:sz w:val="22"/>
                <w:szCs w:val="22"/>
                <w:color w:val="auto"/>
              </w:rPr>
            </w:pPr>
          </w:p>
        </w:tc>
        <w:tc>
          <w:tcPr>
            <w:tcW w:w="1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w:t>
            </w:r>
          </w:p>
        </w:tc>
        <w:tc>
          <w:tcPr>
            <w:tcW w:w="320" w:type="dxa"/>
            <w:vAlign w:val="bottom"/>
            <w:tcBorders>
              <w:bottom w:val="single" w:sz="8" w:color="2B4C9B"/>
            </w:tcBorders>
          </w:tcPr>
          <w:p>
            <w:pPr>
              <w:spacing w:after="0"/>
              <w:rPr>
                <w:sz w:val="22"/>
                <w:szCs w:val="22"/>
                <w:color w:val="auto"/>
              </w:rPr>
            </w:pPr>
          </w:p>
        </w:tc>
        <w:tc>
          <w:tcPr>
            <w:tcW w:w="194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b w:val="1"/>
                <w:bCs w:val="1"/>
                <w:color w:val="2B4C9B"/>
              </w:rPr>
              <w:t>3</w:t>
            </w:r>
          </w:p>
        </w:tc>
      </w:tr>
      <w:tr>
        <w:trPr>
          <w:trHeight w:val="277"/>
        </w:trPr>
        <w:tc>
          <w:tcPr>
            <w:tcW w:w="33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2B4C9B"/>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52</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49</w:t>
            </w:r>
          </w:p>
        </w:tc>
        <w:tc>
          <w:tcPr>
            <w:tcW w:w="118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b w:val="1"/>
                <w:bCs w:val="1"/>
                <w:color w:val="2B4C9B"/>
              </w:rPr>
              <w:t>$</w:t>
            </w:r>
          </w:p>
        </w:tc>
        <w:tc>
          <w:tcPr>
            <w:tcW w:w="120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w:t>
            </w:r>
          </w:p>
        </w:tc>
        <w:tc>
          <w:tcPr>
            <w:tcW w:w="32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940" w:type="dxa"/>
            <w:vAlign w:val="bottom"/>
            <w:tcBorders>
              <w:bottom w:val="single" w:sz="8" w:color="2B4C9B"/>
            </w:tcBorders>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Fair Value Measurement Using Significant Unobservable Inputs (Level 3)</w:t>
      </w:r>
    </w:p>
    <w:p>
      <w:pPr>
        <w:spacing w:after="0" w:line="20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Due to the proximity of the acquisition to our fiscal year end, there was no change to the fair value of guaranteed deposits during the year ended February 1,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Estimated Future Benefit Payments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timing of benefit payments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92075</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w:t>
            </w:r>
          </w:p>
        </w:tc>
        <w:tc>
          <w:tcPr>
            <w:tcW w:w="260" w:type="dxa"/>
            <w:vAlign w:val="bottom"/>
            <w:tcBorders>
              <w:bottom w:val="single" w:sz="8" w:color="2B4C9B"/>
            </w:tcBorders>
          </w:tcPr>
          <w:p>
            <w:pPr>
              <w:spacing w:after="0"/>
              <w:rPr>
                <w:sz w:val="17"/>
                <w:szCs w:val="17"/>
                <w:color w:val="auto"/>
              </w:rPr>
            </w:pPr>
          </w:p>
        </w:tc>
        <w:tc>
          <w:tcPr>
            <w:tcW w:w="1460" w:type="dxa"/>
            <w:vAlign w:val="bottom"/>
            <w:tcBorders>
              <w:bottom w:val="single" w:sz="8" w:color="2B4C9B"/>
            </w:tcBorders>
          </w:tcPr>
          <w:p>
            <w:pPr>
              <w:jc w:val="right"/>
              <w:ind w:right="333"/>
              <w:spacing w:after="0"/>
              <w:rPr>
                <w:sz w:val="20"/>
                <w:szCs w:val="20"/>
                <w:color w:val="auto"/>
              </w:rPr>
            </w:pPr>
            <w:r>
              <w:rPr>
                <w:rFonts w:ascii="Arial" w:cs="Arial" w:eastAsia="Arial" w:hAnsi="Arial"/>
                <w:sz w:val="14"/>
                <w:szCs w:val="14"/>
                <w:b w:val="1"/>
                <w:bCs w:val="1"/>
                <w:color w:val="2B4C9B"/>
              </w:rPr>
              <w:t>Pension Plan</w:t>
            </w:r>
          </w:p>
        </w:tc>
        <w:tc>
          <w:tcPr>
            <w:tcW w:w="100" w:type="dxa"/>
            <w:vAlign w:val="bottom"/>
            <w:tcBorders>
              <w:bottom w:val="single" w:sz="8" w:color="2B4C9B"/>
            </w:tcBorders>
          </w:tcPr>
          <w:p>
            <w:pPr>
              <w:spacing w:after="0"/>
              <w:rPr>
                <w:sz w:val="17"/>
                <w:szCs w:val="17"/>
                <w:color w:val="auto"/>
              </w:rPr>
            </w:pPr>
          </w:p>
        </w:tc>
        <w:tc>
          <w:tcPr>
            <w:tcW w:w="180" w:type="dxa"/>
            <w:vAlign w:val="bottom"/>
            <w:tcBorders>
              <w:bottom w:val="single" w:sz="8" w:color="2B4C9B"/>
            </w:tcBorders>
          </w:tcPr>
          <w:p>
            <w:pPr>
              <w:spacing w:after="0"/>
              <w:rPr>
                <w:sz w:val="17"/>
                <w:szCs w:val="17"/>
                <w:color w:val="auto"/>
              </w:rPr>
            </w:pPr>
          </w:p>
        </w:tc>
        <w:tc>
          <w:tcPr>
            <w:tcW w:w="1540" w:type="dxa"/>
            <w:vAlign w:val="bottom"/>
            <w:tcBorders>
              <w:bottom w:val="single" w:sz="8" w:color="2B4C9B"/>
            </w:tcBorders>
          </w:tcPr>
          <w:p>
            <w:pPr>
              <w:jc w:val="right"/>
              <w:ind w:right="134"/>
              <w:spacing w:after="0"/>
              <w:rPr>
                <w:sz w:val="20"/>
                <w:szCs w:val="20"/>
                <w:color w:val="auto"/>
              </w:rPr>
            </w:pPr>
            <w:r>
              <w:rPr>
                <w:rFonts w:ascii="Arial" w:cs="Arial" w:eastAsia="Arial" w:hAnsi="Arial"/>
                <w:sz w:val="14"/>
                <w:szCs w:val="14"/>
                <w:b w:val="1"/>
                <w:bCs w:val="1"/>
                <w:color w:val="2B4C9B"/>
              </w:rPr>
              <w:t>RHRA Benefit Plan</w:t>
            </w:r>
          </w:p>
        </w:tc>
        <w:tc>
          <w:tcPr>
            <w:tcW w:w="80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b w:val="1"/>
                <w:bCs w:val="1"/>
                <w:color w:val="2B4C9B"/>
              </w:rPr>
              <w:t>Total</w:t>
            </w:r>
          </w:p>
        </w:tc>
      </w:tr>
      <w:tr>
        <w:trPr>
          <w:trHeight w:val="264"/>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6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8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7"/>
        </w:trPr>
        <w:tc>
          <w:tcPr>
            <w:tcW w:w="6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80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7"/>
        </w:trPr>
        <w:tc>
          <w:tcPr>
            <w:tcW w:w="6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80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w:t>
            </w:r>
          </w:p>
        </w:tc>
      </w:tr>
      <w:tr>
        <w:trPr>
          <w:trHeight w:val="264"/>
        </w:trPr>
        <w:tc>
          <w:tcPr>
            <w:tcW w:w="60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Five subsequent fiscal years</w:t>
            </w:r>
          </w:p>
        </w:tc>
        <w:tc>
          <w:tcPr>
            <w:tcW w:w="2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2B4C9B"/>
            </w:tcBorders>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2B4C9B"/>
            </w:tcBorders>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9—Income Taxes:</w:t>
      </w:r>
    </w:p>
    <w:p>
      <w:pPr>
        <w:spacing w:after="0" w:line="2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Substantially all of the Company’s income before income taxes for the three years ended February 1, 2019 is subject to taxation in the United States. The provision for income taxes for each of the periods presented include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February 1,</w:t>
            </w:r>
          </w:p>
        </w:tc>
        <w:tc>
          <w:tcPr>
            <w:tcW w:w="36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2,</w:t>
            </w:r>
          </w:p>
        </w:tc>
        <w:tc>
          <w:tcPr>
            <w:tcW w:w="46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February 3,</w:t>
            </w:r>
          </w:p>
        </w:tc>
      </w:tr>
      <w:tr>
        <w:trPr>
          <w:trHeight w:val="196"/>
        </w:trPr>
        <w:tc>
          <w:tcPr>
            <w:tcW w:w="3200" w:type="dxa"/>
            <w:vAlign w:val="bottom"/>
            <w:tcBorders>
              <w:bottom w:val="single" w:sz="8" w:color="2B4C9B"/>
            </w:tcBorders>
          </w:tcPr>
          <w:p>
            <w:pPr>
              <w:spacing w:after="0"/>
              <w:rPr>
                <w:sz w:val="17"/>
                <w:szCs w:val="17"/>
                <w:color w:val="auto"/>
              </w:rPr>
            </w:pPr>
          </w:p>
        </w:tc>
        <w:tc>
          <w:tcPr>
            <w:tcW w:w="35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2019</w:t>
            </w:r>
          </w:p>
        </w:tc>
        <w:tc>
          <w:tcPr>
            <w:tcW w:w="36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2017</w:t>
            </w:r>
          </w:p>
        </w:tc>
      </w:tr>
      <w:tr>
        <w:trPr>
          <w:trHeight w:val="258"/>
        </w:trPr>
        <w:tc>
          <w:tcPr>
            <w:tcW w:w="32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3200" w:type="dxa"/>
            <w:vAlign w:val="bottom"/>
          </w:tcPr>
          <w:p>
            <w:pPr>
              <w:ind w:left="40"/>
              <w:spacing w:after="0"/>
              <w:rPr>
                <w:sz w:val="20"/>
                <w:szCs w:val="20"/>
                <w:color w:val="auto"/>
              </w:rPr>
            </w:pPr>
            <w:r>
              <w:rPr>
                <w:rFonts w:ascii="Arial" w:cs="Arial" w:eastAsia="Arial" w:hAnsi="Arial"/>
                <w:sz w:val="18"/>
                <w:szCs w:val="18"/>
                <w:color w:val="auto"/>
              </w:rPr>
              <w:t>Current:</w:t>
            </w:r>
          </w:p>
        </w:tc>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32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4</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59</w:t>
            </w:r>
          </w:p>
        </w:tc>
      </w:tr>
      <w:tr>
        <w:trPr>
          <w:trHeight w:val="263"/>
        </w:trPr>
        <w:tc>
          <w:tcPr>
            <w:tcW w:w="3200" w:type="dxa"/>
            <w:vAlign w:val="bottom"/>
          </w:tcPr>
          <w:p>
            <w:pPr>
              <w:ind w:left="280"/>
              <w:spacing w:after="0"/>
              <w:rPr>
                <w:sz w:val="20"/>
                <w:szCs w:val="20"/>
                <w:color w:val="auto"/>
              </w:rPr>
            </w:pPr>
            <w:r>
              <w:rPr>
                <w:rFonts w:ascii="Arial" w:cs="Arial" w:eastAsia="Arial" w:hAnsi="Arial"/>
                <w:sz w:val="18"/>
                <w:szCs w:val="18"/>
                <w:color w:val="auto"/>
              </w:rPr>
              <w:t>State</w:t>
            </w:r>
          </w:p>
        </w:tc>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2B4C9B"/>
              </w:rPr>
              <w:t>10</w:t>
            </w:r>
          </w:p>
        </w:tc>
        <w:tc>
          <w:tcPr>
            <w:tcW w:w="36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w:t>
            </w:r>
          </w:p>
        </w:tc>
      </w:tr>
      <w:tr>
        <w:trPr>
          <w:trHeight w:val="263"/>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w:t>
            </w:r>
          </w:p>
        </w:tc>
        <w:tc>
          <w:tcPr>
            <w:tcW w:w="35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r>
      <w:tr>
        <w:trPr>
          <w:trHeight w:val="284"/>
        </w:trPr>
        <w:tc>
          <w:tcPr>
            <w:tcW w:w="32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5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17</w:t>
            </w:r>
          </w:p>
        </w:tc>
        <w:tc>
          <w:tcPr>
            <w:tcW w:w="36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w:t>
            </w:r>
          </w:p>
        </w:tc>
      </w:tr>
      <w:tr>
        <w:trPr>
          <w:trHeight w:val="264"/>
        </w:trPr>
        <w:tc>
          <w:tcPr>
            <w:tcW w:w="320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State</w:t>
            </w:r>
          </w:p>
        </w:tc>
        <w:tc>
          <w:tcPr>
            <w:tcW w:w="3540" w:type="dxa"/>
            <w:vAlign w:val="bottom"/>
            <w:tcBorders>
              <w:bottom w:val="single" w:sz="8" w:color="2B4C9B"/>
            </w:tcBorders>
          </w:tcPr>
          <w:p>
            <w:pPr>
              <w:spacing w:after="0"/>
              <w:rPr>
                <w:sz w:val="22"/>
                <w:szCs w:val="22"/>
                <w:color w:val="auto"/>
              </w:rPr>
            </w:pPr>
          </w:p>
        </w:tc>
        <w:tc>
          <w:tcPr>
            <w:tcW w:w="36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2</w:t>
            </w:r>
          </w:p>
        </w:tc>
        <w:tc>
          <w:tcPr>
            <w:tcW w:w="36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32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2B4C9B"/>
            </w:tcBorders>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33</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69</w:t>
            </w:r>
          </w:p>
        </w:tc>
      </w:tr>
      <w:tr>
        <w:trPr>
          <w:trHeight w:val="459"/>
        </w:trPr>
        <w:tc>
          <w:tcPr>
            <w:tcW w:w="3200" w:type="dxa"/>
            <w:vAlign w:val="bottom"/>
          </w:tcPr>
          <w:p>
            <w:pPr>
              <w:spacing w:after="0"/>
              <w:rPr>
                <w:sz w:val="24"/>
                <w:szCs w:val="24"/>
                <w:color w:val="auto"/>
              </w:rPr>
            </w:pPr>
          </w:p>
        </w:tc>
        <w:tc>
          <w:tcPr>
            <w:tcW w:w="3900" w:type="dxa"/>
            <w:vAlign w:val="bottom"/>
            <w:gridSpan w:val="2"/>
          </w:tcPr>
          <w:p>
            <w:pPr>
              <w:jc w:val="right"/>
              <w:ind w:right="1200"/>
              <w:spacing w:after="0"/>
              <w:rPr>
                <w:sz w:val="20"/>
                <w:szCs w:val="20"/>
                <w:color w:val="auto"/>
              </w:rPr>
            </w:pPr>
            <w:r>
              <w:rPr>
                <w:rFonts w:ascii="Arial" w:cs="Arial" w:eastAsia="Arial" w:hAnsi="Arial"/>
                <w:sz w:val="18"/>
                <w:szCs w:val="18"/>
                <w:color w:val="2B4C9B"/>
              </w:rPr>
              <w:t>F-33</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41" w:right="239" w:bottom="833" w:gutter="0" w:footer="0" w:header="0"/>
        </w:sectPr>
      </w:pPr>
    </w:p>
    <w:bookmarkStart w:id="79" w:name="page80"/>
    <w:bookmarkEnd w:id="7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each of the periods presented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ind w:right="374"/>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2B4C9B"/>
              </w:rPr>
              <w:t>February 1,</w:t>
            </w:r>
          </w:p>
        </w:tc>
        <w:tc>
          <w:tcPr>
            <w:tcW w:w="320" w:type="dxa"/>
            <w:vAlign w:val="bottom"/>
          </w:tcPr>
          <w:p>
            <w:pPr>
              <w:spacing w:after="0"/>
              <w:rPr>
                <w:sz w:val="15"/>
                <w:szCs w:val="15"/>
                <w:color w:val="auto"/>
              </w:rPr>
            </w:pPr>
          </w:p>
        </w:tc>
        <w:tc>
          <w:tcPr>
            <w:tcW w:w="1340" w:type="dxa"/>
            <w:vAlign w:val="bottom"/>
          </w:tcPr>
          <w:p>
            <w:pPr>
              <w:jc w:val="right"/>
              <w:ind w:right="194"/>
              <w:spacing w:after="0"/>
              <w:rPr>
                <w:sz w:val="20"/>
                <w:szCs w:val="20"/>
                <w:color w:val="auto"/>
              </w:rPr>
            </w:pPr>
            <w:r>
              <w:rPr>
                <w:rFonts w:ascii="Arial" w:cs="Arial" w:eastAsia="Arial" w:hAnsi="Arial"/>
                <w:sz w:val="14"/>
                <w:szCs w:val="14"/>
                <w:color w:val="auto"/>
              </w:rPr>
              <w:t>February 2,</w:t>
            </w:r>
          </w:p>
        </w:tc>
        <w:tc>
          <w:tcPr>
            <w:tcW w:w="400" w:type="dxa"/>
            <w:vAlign w:val="bottom"/>
          </w:tcPr>
          <w:p>
            <w:pPr>
              <w:spacing w:after="0"/>
              <w:rPr>
                <w:sz w:val="15"/>
                <w:szCs w:val="15"/>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color w:val="auto"/>
              </w:rPr>
              <w:t>February 3,</w:t>
            </w:r>
          </w:p>
        </w:tc>
      </w:tr>
      <w:tr>
        <w:trPr>
          <w:trHeight w:val="196"/>
        </w:trPr>
        <w:tc>
          <w:tcPr>
            <w:tcW w:w="654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73"/>
              <w:spacing w:after="0"/>
              <w:rPr>
                <w:sz w:val="20"/>
                <w:szCs w:val="20"/>
                <w:color w:val="auto"/>
              </w:rPr>
            </w:pPr>
            <w:r>
              <w:rPr>
                <w:rFonts w:ascii="Arial" w:cs="Arial" w:eastAsia="Arial" w:hAnsi="Arial"/>
                <w:sz w:val="14"/>
                <w:szCs w:val="14"/>
                <w:b w:val="1"/>
                <w:bCs w:val="1"/>
                <w:color w:val="2B4C9B"/>
              </w:rPr>
              <w:t>2019</w:t>
            </w:r>
          </w:p>
        </w:tc>
        <w:tc>
          <w:tcPr>
            <w:tcW w:w="320" w:type="dxa"/>
            <w:vAlign w:val="bottom"/>
            <w:tcBorders>
              <w:bottom w:val="single" w:sz="8" w:color="2B4C9B"/>
            </w:tcBorders>
          </w:tcPr>
          <w:p>
            <w:pPr>
              <w:spacing w:after="0"/>
              <w:rPr>
                <w:sz w:val="17"/>
                <w:szCs w:val="17"/>
                <w:color w:val="auto"/>
              </w:rPr>
            </w:pPr>
          </w:p>
        </w:tc>
        <w:tc>
          <w:tcPr>
            <w:tcW w:w="1340" w:type="dxa"/>
            <w:vAlign w:val="bottom"/>
            <w:tcBorders>
              <w:bottom w:val="single" w:sz="8" w:color="2B4C9B"/>
            </w:tcBorders>
          </w:tcPr>
          <w:p>
            <w:pPr>
              <w:jc w:val="right"/>
              <w:ind w:right="174"/>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93"/>
              <w:spacing w:after="0"/>
              <w:rPr>
                <w:sz w:val="20"/>
                <w:szCs w:val="20"/>
                <w:color w:val="auto"/>
              </w:rPr>
            </w:pPr>
            <w:r>
              <w:rPr>
                <w:rFonts w:ascii="Arial" w:cs="Arial" w:eastAsia="Arial" w:hAnsi="Arial"/>
                <w:sz w:val="14"/>
                <w:szCs w:val="14"/>
                <w:color w:val="auto"/>
              </w:rPr>
              <w:t>2017</w:t>
            </w:r>
          </w:p>
        </w:tc>
      </w:tr>
      <w:tr>
        <w:trPr>
          <w:trHeight w:val="264"/>
        </w:trPr>
        <w:tc>
          <w:tcPr>
            <w:tcW w:w="6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Statutory federal income tax rate</w:t>
            </w:r>
            <w:r>
              <w:rPr>
                <w:rFonts w:ascii="Arial" w:cs="Arial" w:eastAsia="Arial" w:hAnsi="Arial"/>
                <w:sz w:val="21"/>
                <w:szCs w:val="21"/>
                <w:color w:val="auto"/>
                <w:vertAlign w:val="superscript"/>
              </w:rPr>
              <w:t>(1)</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21.0%</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Amount computed at the blended statutory federal income tax rate</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280" w:type="dxa"/>
            <w:vAlign w:val="bottom"/>
          </w:tcPr>
          <w:p>
            <w:pPr>
              <w:jc w:val="right"/>
              <w:ind w:right="173"/>
              <w:spacing w:after="0"/>
              <w:rPr>
                <w:sz w:val="20"/>
                <w:szCs w:val="20"/>
                <w:color w:val="auto"/>
              </w:rPr>
            </w:pPr>
            <w:r>
              <w:rPr>
                <w:rFonts w:ascii="Arial" w:cs="Arial" w:eastAsia="Arial" w:hAnsi="Arial"/>
                <w:sz w:val="18"/>
                <w:szCs w:val="18"/>
                <w:b w:val="1"/>
                <w:bCs w:val="1"/>
                <w:color w:val="2B4C9B"/>
              </w:rPr>
              <w:t>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74</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9</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Research and development and other federal credits</w:t>
            </w:r>
          </w:p>
        </w:tc>
        <w:tc>
          <w:tcPr>
            <w:tcW w:w="340" w:type="dxa"/>
            <w:vAlign w:val="bottom"/>
          </w:tcPr>
          <w:p>
            <w:pPr>
              <w:spacing w:after="0"/>
              <w:rPr>
                <w:sz w:val="22"/>
                <w:szCs w:val="22"/>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b w:val="1"/>
                <w:bCs w:val="1"/>
                <w:color w:val="2B4C9B"/>
              </w:rPr>
              <w:t>(8)</w:t>
            </w:r>
          </w:p>
        </w:tc>
        <w:tc>
          <w:tcPr>
            <w:tcW w:w="320" w:type="dxa"/>
            <w:vAlign w:val="bottom"/>
          </w:tcPr>
          <w:p>
            <w:pPr>
              <w:spacing w:after="0"/>
              <w:rPr>
                <w:sz w:val="22"/>
                <w:szCs w:val="22"/>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Federal income tax reduction per the Tax Act</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Manufacturer's deduction</w:t>
            </w:r>
          </w:p>
        </w:tc>
        <w:tc>
          <w:tcPr>
            <w:tcW w:w="340" w:type="dxa"/>
            <w:vAlign w:val="bottom"/>
          </w:tcPr>
          <w:p>
            <w:pPr>
              <w:spacing w:after="0"/>
              <w:rPr>
                <w:sz w:val="22"/>
                <w:szCs w:val="22"/>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b w:val="1"/>
                <w:bCs w:val="1"/>
                <w:color w:val="2B4C9B"/>
              </w:rPr>
              <w:t>—</w:t>
            </w:r>
          </w:p>
        </w:tc>
        <w:tc>
          <w:tcPr>
            <w:tcW w:w="320" w:type="dxa"/>
            <w:vAlign w:val="bottom"/>
          </w:tcPr>
          <w:p>
            <w:pPr>
              <w:spacing w:after="0"/>
              <w:rPr>
                <w:sz w:val="22"/>
                <w:szCs w:val="22"/>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Non-deductible compensation</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3</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Non-deductible acquisition costs</w:t>
            </w:r>
          </w:p>
        </w:tc>
        <w:tc>
          <w:tcPr>
            <w:tcW w:w="340" w:type="dxa"/>
            <w:vAlign w:val="bottom"/>
          </w:tcPr>
          <w:p>
            <w:pPr>
              <w:spacing w:after="0"/>
              <w:rPr>
                <w:sz w:val="22"/>
                <w:szCs w:val="22"/>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b w:val="1"/>
                <w:bCs w:val="1"/>
                <w:color w:val="2B4C9B"/>
              </w:rPr>
              <w:t>3</w:t>
            </w:r>
          </w:p>
        </w:tc>
        <w:tc>
          <w:tcPr>
            <w:tcW w:w="320" w:type="dxa"/>
            <w:vAlign w:val="bottom"/>
          </w:tcPr>
          <w:p>
            <w:pPr>
              <w:spacing w:after="0"/>
              <w:rPr>
                <w:sz w:val="22"/>
                <w:szCs w:val="22"/>
                <w:color w:val="auto"/>
              </w:rPr>
            </w:pP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Excess tax benefits for stock-based compensation</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13"/>
              <w:spacing w:after="0"/>
              <w:rPr>
                <w:sz w:val="20"/>
                <w:szCs w:val="20"/>
                <w:color w:val="auto"/>
              </w:rPr>
            </w:pPr>
            <w:r>
              <w:rPr>
                <w:rFonts w:ascii="Arial" w:cs="Arial" w:eastAsia="Arial" w:hAnsi="Arial"/>
                <w:sz w:val="18"/>
                <w:szCs w:val="18"/>
                <w:b w:val="1"/>
                <w:bCs w:val="1"/>
                <w:color w:val="2B4C9B"/>
              </w:rPr>
              <w:t>(9)</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4"/>
        </w:trPr>
        <w:tc>
          <w:tcPr>
            <w:tcW w:w="6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13"/>
              <w:spacing w:after="0"/>
              <w:rPr>
                <w:sz w:val="20"/>
                <w:szCs w:val="20"/>
                <w:color w:val="auto"/>
              </w:rPr>
            </w:pPr>
            <w:r>
              <w:rPr>
                <w:rFonts w:ascii="Arial" w:cs="Arial" w:eastAsia="Arial" w:hAnsi="Arial"/>
                <w:sz w:val="18"/>
                <w:szCs w:val="18"/>
                <w:b w:val="1"/>
                <w:bCs w:val="1"/>
                <w:color w:val="2B4C9B"/>
              </w:rPr>
              <w:t>(1)</w:t>
            </w:r>
          </w:p>
        </w:tc>
        <w:tc>
          <w:tcPr>
            <w:tcW w:w="32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11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93"/>
              <w:spacing w:after="0"/>
              <w:rPr>
                <w:sz w:val="20"/>
                <w:szCs w:val="20"/>
                <w:color w:val="auto"/>
              </w:rPr>
            </w:pPr>
            <w:r>
              <w:rPr>
                <w:rFonts w:ascii="Arial" w:cs="Arial" w:eastAsia="Arial" w:hAnsi="Arial"/>
                <w:sz w:val="18"/>
                <w:szCs w:val="18"/>
                <w:color w:val="auto"/>
              </w:rPr>
              <w:t>—</w:t>
            </w:r>
          </w:p>
        </w:tc>
      </w:tr>
      <w:tr>
        <w:trPr>
          <w:trHeight w:val="264"/>
        </w:trPr>
        <w:tc>
          <w:tcPr>
            <w:tcW w:w="65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280" w:type="dxa"/>
            <w:vAlign w:val="bottom"/>
            <w:tcBorders>
              <w:bottom w:val="single" w:sz="8" w:color="2B4C9B"/>
            </w:tcBorders>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33</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shd w:val="clear" w:color="auto" w:fill="CFF0FC"/>
          </w:tcPr>
          <w:p>
            <w:pPr>
              <w:jc w:val="right"/>
              <w:ind w:right="174"/>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shd w:val="clear" w:color="auto" w:fill="CFF0FC"/>
          </w:tcPr>
          <w:p>
            <w:pPr>
              <w:jc w:val="right"/>
              <w:ind w:right="93"/>
              <w:spacing w:after="0"/>
              <w:rPr>
                <w:sz w:val="20"/>
                <w:szCs w:val="20"/>
                <w:color w:val="auto"/>
              </w:rPr>
            </w:pPr>
            <w:r>
              <w:rPr>
                <w:rFonts w:ascii="Arial" w:cs="Arial" w:eastAsia="Arial" w:hAnsi="Arial"/>
                <w:sz w:val="18"/>
                <w:szCs w:val="18"/>
                <w:color w:val="auto"/>
              </w:rPr>
              <w:t>69</w:t>
            </w:r>
          </w:p>
        </w:tc>
      </w:tr>
      <w:tr>
        <w:trPr>
          <w:trHeight w:val="277"/>
        </w:trPr>
        <w:tc>
          <w:tcPr>
            <w:tcW w:w="6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2B4C9B"/>
            </w:tcBorders>
          </w:tcPr>
          <w:p>
            <w:pPr>
              <w:spacing w:after="0"/>
              <w:rPr>
                <w:sz w:val="24"/>
                <w:szCs w:val="24"/>
                <w:color w:val="auto"/>
              </w:rPr>
            </w:pP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19.4%</w:t>
            </w:r>
          </w:p>
        </w:tc>
        <w:tc>
          <w:tcPr>
            <w:tcW w:w="320" w:type="dxa"/>
            <w:vAlign w:val="bottom"/>
            <w:tcBorders>
              <w:bottom w:val="single" w:sz="8" w:color="2B4C9B"/>
            </w:tcBorders>
          </w:tcPr>
          <w:p>
            <w:pPr>
              <w:spacing w:after="0"/>
              <w:rPr>
                <w:sz w:val="24"/>
                <w:szCs w:val="24"/>
                <w:color w:val="auto"/>
              </w:rPr>
            </w:pPr>
          </w:p>
        </w:tc>
        <w:tc>
          <w:tcPr>
            <w:tcW w:w="134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16.5%</w:t>
            </w:r>
          </w:p>
        </w:tc>
        <w:tc>
          <w:tcPr>
            <w:tcW w:w="400" w:type="dxa"/>
            <w:vAlign w:val="bottom"/>
            <w:tcBorders>
              <w:bottom w:val="single" w:sz="8" w:color="2B4C9B"/>
            </w:tcBorders>
          </w:tcPr>
          <w:p>
            <w:pPr>
              <w:spacing w:after="0"/>
              <w:rPr>
                <w:sz w:val="24"/>
                <w:szCs w:val="24"/>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32.7%</w:t>
            </w:r>
          </w:p>
        </w:tc>
      </w:tr>
    </w:tbl>
    <w:p>
      <w:pPr>
        <w:spacing w:after="0" w:line="12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statutory federal income tax rate for fiscal 2018 is a blended rate due to the Tax Act. See Note 1.</w:t>
      </w:r>
    </w:p>
    <w:p>
      <w:pPr>
        <w:spacing w:after="0" w:line="17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 effective income tax rate for fiscal 2019 is higher than fiscal 2018 primarily due to smaller excess tax benefits from stock-based compensation, $3 million of tax expense for non-deductible acquisition expenses that only occurred in fiscal 2019 and the higher non-deductible executive compensation in fiscal 2019 as a result from the Tax Act. The one-time Federal income tax rate reduction in fiscal 2018 was largely offset by the benefit of the lower corporate tax rate which applied in fiscal 2019. The effective income tax rate for fiscal 2018 is lower than fiscal 2017 primarily due to $22 million in excess tax benefits recognized in fiscal 2018 as well as a $17 million benefit in fiscal 2018 as a result of the federal rate change from the Tax Act. The excess tax benefits are related to employee share-based compensation as a result of the adoption of ASU 2016-09, </w:t>
      </w:r>
      <w:r>
        <w:rPr>
          <w:rFonts w:ascii="Arial" w:cs="Arial" w:eastAsia="Arial" w:hAnsi="Arial"/>
          <w:sz w:val="18"/>
          <w:szCs w:val="18"/>
          <w:i w:val="1"/>
          <w:iCs w:val="1"/>
          <w:color w:val="auto"/>
        </w:rPr>
        <w:t>Improvements to Employee Share-Based Payment Accounting.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F-34</w:t>
      </w:r>
    </w:p>
    <w:p>
      <w:pPr>
        <w:sectPr>
          <w:pgSz w:w="11900" w:h="16838" w:orient="portrait"/>
          <w:cols w:equalWidth="0" w:num="1">
            <w:col w:w="11420"/>
          </w:cols>
          <w:pgMar w:left="240" w:top="141" w:right="239" w:bottom="1440" w:gutter="0" w:footer="0" w:header="0"/>
        </w:sectPr>
      </w:pPr>
    </w:p>
    <w:bookmarkStart w:id="80" w:name="page81"/>
    <w:bookmarkEnd w:id="8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2B4C9B"/>
              </w:rPr>
              <w:t>February 1,</w:t>
            </w:r>
          </w:p>
        </w:tc>
        <w:tc>
          <w:tcPr>
            <w:tcW w:w="54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February 2,</w:t>
            </w:r>
          </w:p>
        </w:tc>
      </w:tr>
      <w:tr>
        <w:trPr>
          <w:trHeight w:val="196"/>
        </w:trPr>
        <w:tc>
          <w:tcPr>
            <w:tcW w:w="5900" w:type="dxa"/>
            <w:vAlign w:val="bottom"/>
            <w:tcBorders>
              <w:bottom w:val="single" w:sz="8" w:color="2B4C9B"/>
            </w:tcBorders>
          </w:tcPr>
          <w:p>
            <w:pPr>
              <w:spacing w:after="0"/>
              <w:rPr>
                <w:sz w:val="17"/>
                <w:szCs w:val="17"/>
                <w:color w:val="auto"/>
              </w:rPr>
            </w:pPr>
          </w:p>
        </w:tc>
        <w:tc>
          <w:tcPr>
            <w:tcW w:w="278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4"/>
                <w:szCs w:val="14"/>
                <w:b w:val="1"/>
                <w:bCs w:val="1"/>
                <w:color w:val="2B4C9B"/>
              </w:rPr>
              <w:t>2019</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64"/>
        </w:trPr>
        <w:tc>
          <w:tcPr>
            <w:tcW w:w="59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r>
      <w:tr>
        <w:trPr>
          <w:trHeight w:val="276"/>
        </w:trPr>
        <w:tc>
          <w:tcPr>
            <w:tcW w:w="5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vacation and bonuses</w:t>
            </w:r>
          </w:p>
        </w:tc>
        <w:tc>
          <w:tcPr>
            <w:tcW w:w="278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27</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w:t>
            </w: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78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13</w:t>
            </w:r>
          </w:p>
        </w:tc>
        <w:tc>
          <w:tcPr>
            <w:tcW w:w="5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5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compensation</w:t>
            </w:r>
          </w:p>
        </w:tc>
        <w:tc>
          <w:tcPr>
            <w:tcW w:w="2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22</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w:t>
            </w: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278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11</w:t>
            </w:r>
          </w:p>
        </w:tc>
        <w:tc>
          <w:tcPr>
            <w:tcW w:w="5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7"/>
        </w:trPr>
        <w:tc>
          <w:tcPr>
            <w:tcW w:w="5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operating loss and other carryforwards</w:t>
            </w:r>
          </w:p>
        </w:tc>
        <w:tc>
          <w:tcPr>
            <w:tcW w:w="2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138</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w:t>
            </w: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Fixed asset basis differences</w:t>
            </w:r>
          </w:p>
        </w:tc>
        <w:tc>
          <w:tcPr>
            <w:tcW w:w="278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3</w:t>
            </w:r>
          </w:p>
        </w:tc>
        <w:tc>
          <w:tcPr>
            <w:tcW w:w="5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Accumulated other comprehensive loss</w:t>
            </w:r>
          </w:p>
        </w:tc>
        <w:tc>
          <w:tcPr>
            <w:tcW w:w="278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5</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9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Valuation allowance</w:t>
            </w:r>
          </w:p>
        </w:tc>
        <w:tc>
          <w:tcPr>
            <w:tcW w:w="278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(5)</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59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Total deferred tax assets</w:t>
            </w:r>
          </w:p>
        </w:tc>
        <w:tc>
          <w:tcPr>
            <w:tcW w:w="278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214</w:t>
            </w:r>
          </w:p>
        </w:tc>
        <w:tc>
          <w:tcPr>
            <w:tcW w:w="54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55</w:t>
            </w: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2B4C9B"/>
              </w:rPr>
              <w:t>(1)</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5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Fixed asset basis differences</w:t>
            </w:r>
          </w:p>
        </w:tc>
        <w:tc>
          <w:tcPr>
            <w:tcW w:w="2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Purchased intangible assets</w:t>
            </w:r>
          </w:p>
        </w:tc>
        <w:tc>
          <w:tcPr>
            <w:tcW w:w="2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2B4C9B"/>
              </w:rPr>
              <w:t>(159)</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9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78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590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Total deferred tax liabilities</w:t>
            </w:r>
          </w:p>
        </w:tc>
        <w:tc>
          <w:tcPr>
            <w:tcW w:w="278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(160)</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(78)</w:t>
            </w:r>
          </w:p>
        </w:tc>
      </w:tr>
      <w:tr>
        <w:trPr>
          <w:trHeight w:val="277"/>
        </w:trPr>
        <w:tc>
          <w:tcPr>
            <w:tcW w:w="59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deferred tax assets (liabilities)</w:t>
            </w:r>
          </w:p>
        </w:tc>
        <w:tc>
          <w:tcPr>
            <w:tcW w:w="278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54</w:t>
            </w:r>
          </w:p>
        </w:tc>
        <w:tc>
          <w:tcPr>
            <w:tcW w:w="540" w:type="dxa"/>
            <w:vAlign w:val="bottom"/>
            <w:tcBorders>
              <w:bottom w:val="single" w:sz="8" w:color="2B4C9B"/>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bl>
    <w:p>
      <w:pPr>
        <w:spacing w:after="0" w:line="32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For fiscal 2019, net deferred tax assets of $54 million is presented in other assets on the consolidated balance sheets. For fiscal 2018, net deferred tax liabilities are presented as deferred income taxes on the consolidated balance sheets. Deferred tax assets for both periods presented include state tax credit carryforwards for which the Company has set up a valuation allowance.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unrecognized tax benefits, excluding accrued interest and penalties,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7"/>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2B4C9B"/>
              </w:rPr>
              <w:t>February 1,</w:t>
            </w:r>
          </w:p>
        </w:tc>
        <w:tc>
          <w:tcPr>
            <w:tcW w:w="34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4"/>
                <w:szCs w:val="14"/>
                <w:color w:val="auto"/>
              </w:rPr>
              <w:t>February 2,</w:t>
            </w:r>
          </w:p>
        </w:tc>
        <w:tc>
          <w:tcPr>
            <w:tcW w:w="460" w:type="dxa"/>
            <w:vAlign w:val="bottom"/>
          </w:tcPr>
          <w:p>
            <w:pPr>
              <w:spacing w:after="0"/>
              <w:rPr>
                <w:sz w:val="15"/>
                <w:szCs w:val="15"/>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b w:val="1"/>
                <w:bCs w:val="1"/>
                <w:color w:val="2B4C9B"/>
              </w:rPr>
              <w:t>2019</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7</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60" w:type="dxa"/>
            <w:vAlign w:val="bottom"/>
          </w:tcPr>
          <w:p>
            <w:pPr>
              <w:ind w:left="280"/>
              <w:spacing w:after="0"/>
              <w:rPr>
                <w:sz w:val="20"/>
                <w:szCs w:val="20"/>
                <w:color w:val="auto"/>
              </w:rPr>
            </w:pPr>
            <w:r>
              <w:rPr>
                <w:rFonts w:ascii="Arial" w:cs="Arial" w:eastAsia="Arial" w:hAnsi="Arial"/>
                <w:sz w:val="18"/>
                <w:szCs w:val="18"/>
                <w:color w:val="auto"/>
              </w:rPr>
              <w:t>Additions for acquired unrecognized tax benefits</w:t>
            </w:r>
          </w:p>
        </w:tc>
        <w:tc>
          <w:tcPr>
            <w:tcW w:w="34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b w:val="1"/>
                <w:bCs w:val="1"/>
                <w:color w:val="2B4C9B"/>
              </w:rPr>
              <w:t>3</w:t>
            </w:r>
          </w:p>
        </w:tc>
        <w:tc>
          <w:tcPr>
            <w:tcW w:w="3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for tax positions related to prior years</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w:t>
            </w:r>
          </w:p>
        </w:tc>
        <w:tc>
          <w:tcPr>
            <w:tcW w:w="34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Borders>
              <w:bottom w:val="single" w:sz="8" w:color="2B4C9B"/>
            </w:tcBorders>
          </w:tcPr>
          <w:p>
            <w:pPr>
              <w:spacing w:after="0"/>
              <w:rPr>
                <w:sz w:val="22"/>
                <w:szCs w:val="22"/>
                <w:color w:val="auto"/>
              </w:rPr>
            </w:pPr>
          </w:p>
        </w:tc>
        <w:tc>
          <w:tcPr>
            <w:tcW w:w="116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2</w:t>
            </w:r>
          </w:p>
        </w:tc>
        <w:tc>
          <w:tcPr>
            <w:tcW w:w="34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13</w:t>
            </w: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60" w:type="dxa"/>
            <w:vAlign w:val="bottom"/>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 tax</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2B4C9B"/>
              </w:rPr>
              <w:t>9</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rate</w:t>
            </w:r>
          </w:p>
        </w:tc>
        <w:tc>
          <w:tcPr>
            <w:tcW w:w="340" w:type="dxa"/>
            <w:vAlign w:val="bottom"/>
            <w:tcBorders>
              <w:bottom w:val="single" w:sz="8" w:color="2B4C9B"/>
            </w:tcBorders>
            <w:vMerge w:val="continue"/>
          </w:tcPr>
          <w:p>
            <w:pPr>
              <w:spacing w:after="0"/>
              <w:rPr>
                <w:sz w:val="20"/>
                <w:szCs w:val="20"/>
                <w:color w:val="auto"/>
              </w:rPr>
            </w:pPr>
          </w:p>
        </w:tc>
        <w:tc>
          <w:tcPr>
            <w:tcW w:w="1160" w:type="dxa"/>
            <w:vAlign w:val="bottom"/>
            <w:tcBorders>
              <w:bottom w:val="single" w:sz="8" w:color="2B4C9B"/>
            </w:tcBorders>
            <w:vMerge w:val="continue"/>
          </w:tcPr>
          <w:p>
            <w:pPr>
              <w:spacing w:after="0"/>
              <w:rPr>
                <w:sz w:val="20"/>
                <w:szCs w:val="20"/>
                <w:color w:val="auto"/>
              </w:rPr>
            </w:pPr>
          </w:p>
        </w:tc>
        <w:tc>
          <w:tcPr>
            <w:tcW w:w="3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We believe it is reasonably possible that $2 million to $4 million of unrecognized tax benefits will reverse in the next 12 months due to the resolution of a tax authority examination and approximately $4 million as a result of statute of limitations expiration, along with associated interest and penalties.</w:t>
      </w:r>
    </w:p>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For the periods presented, there was not a material amount of current year interest and penalties recognized in the consolidated balance sheets and statements of income and comprehensive income. Tax interest and tax penalties, if any, would be included in income tax expense.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F-35</w:t>
      </w:r>
    </w:p>
    <w:p>
      <w:pPr>
        <w:sectPr>
          <w:pgSz w:w="11900" w:h="16838" w:orient="portrait"/>
          <w:cols w:equalWidth="0" w:num="1">
            <w:col w:w="11420"/>
          </w:cols>
          <w:pgMar w:left="240" w:top="141" w:right="239" w:bottom="1440" w:gutter="0" w:footer="0" w:header="0"/>
        </w:sectPr>
      </w:pPr>
    </w:p>
    <w:bookmarkStart w:id="81" w:name="page82"/>
    <w:bookmarkEnd w:id="8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Beginning with fiscal 2014, the Company has filed income tax returns in the U.S. and various state jurisdictions, which may be subject to routine compliance reviews by the Internal Revenue Service ("IRS") and other taxing authorities. While the Company believes it has adequate accruals for uncertain tax positions, the tax authorities may determine that the Company owes taxes in excess of recorded accruals or the recorded accruals may be in excess of the final settlement amounts agreed to by tax authorities. The Company’s tax returns for fiscal years 2016 through 2018 remain subject to examination by the IRS and various other tax jurisdictions. The Company is currently under examination by the IRS for fiscal years 2016 and 2017. The Company is not responsible for any tax items on operations before the separation except for Scitor’s tax returns that remain subject to examination by the IRS and various other tax jurisdictions from 2005 through the acquisition. The Company is also subject to examination for the returns of Engility from calendar year 2015 through the short pre-acquisition period ended January 13, 2019. The Company is responsible for any tax items on operations before acquisition for Engility.</w:t>
      </w:r>
    </w:p>
    <w:p>
      <w:pPr>
        <w:spacing w:after="0" w:line="1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2016, the Company acquired all of Scitor’s stock in a transaction taxable to the selling shareholders. The Company inherited Scitor’s historical tax basis in deductible goodwill, certain other intangible assets, and operating loss carryforwards. At the date of the acquisition, the tax deductible goodwill was $136 million and the tax deductible identified intangible assets were $163 million. The Company inherited a federal and state net operating loss of $90 million subject to Internal Revenue Code Section 382 limitations. The Company expects to utilize these losses completely by fiscal 2020. The net operating losses will begin to expire in fiscal 2027.</w:t>
      </w:r>
    </w:p>
    <w:p>
      <w:pPr>
        <w:spacing w:after="0" w:line="16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fiscal year 2019, the Company acquired all of Engility’s stock in a tax free transaction to the selling shareholders. The Company inherited Engility’s historical tax basis in deductible goodwill, certain other intangible assets, and operating loss carryforwards. At the date of the acquisition, the tax deductible goodwill was $ 441 million and the tax deductible identified intangible assets were $255 million. The Company inherited a federal net operating loss of $483 million subject to Internal Revenue Code Section 382 limitations. The Company expects to utilize these losses completely by fiscal 2036. The net operating losses will begin to expire in fiscal 2029. Under Sections 382 and 383 of the Internal Revenue Code of 1986, as amended (the Code), if a corporation undergoes an “ownership change,” the corporation’s ability to use its pre-change net operating loss carryforwards and other pre-change tax attributes, such as its adjusted tax basis in its amortizable goodwill, to offset its post-change income and taxes may be limited. Such an ownership change occurred during the acquisition of Engility and, as a result of these limitations, $3 million of tax credit carryforwards were eliminated in purchase accounting.</w:t>
      </w:r>
    </w:p>
    <w:p>
      <w:pPr>
        <w:spacing w:after="0" w:line="17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has approximately $30 million of state loss carryforwards and approximately $9 million of state credit carryforwards that will begin to expire in fiscal 2026. The valuation allowance shown above relates to these state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10—Debt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as of the periods presented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224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b w:val="1"/>
                <w:bCs w:val="1"/>
                <w:color w:val="2B4C9B"/>
              </w:rPr>
              <w:t>February 1, 2019</w:t>
            </w:r>
          </w:p>
        </w:tc>
        <w:tc>
          <w:tcPr>
            <w:tcW w:w="11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6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spacing w:after="0"/>
              <w:rPr>
                <w:sz w:val="17"/>
                <w:szCs w:val="17"/>
                <w:color w:val="auto"/>
              </w:rPr>
            </w:pPr>
          </w:p>
        </w:tc>
        <w:tc>
          <w:tcPr>
            <w:tcW w:w="130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2, 2018</w:t>
            </w:r>
          </w:p>
        </w:tc>
        <w:tc>
          <w:tcPr>
            <w:tcW w:w="24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2B4C9B"/>
              </w:rPr>
              <w:t>Stated</w:t>
            </w:r>
          </w:p>
        </w:tc>
        <w:tc>
          <w:tcPr>
            <w:tcW w:w="1200" w:type="dxa"/>
            <w:vAlign w:val="bottom"/>
          </w:tcPr>
          <w:p>
            <w:pPr>
              <w:jc w:val="right"/>
              <w:ind w:right="364"/>
              <w:spacing w:after="0"/>
              <w:rPr>
                <w:sz w:val="20"/>
                <w:szCs w:val="20"/>
                <w:color w:val="auto"/>
              </w:rPr>
            </w:pPr>
            <w:r>
              <w:rPr>
                <w:rFonts w:ascii="Arial" w:cs="Arial" w:eastAsia="Arial" w:hAnsi="Arial"/>
                <w:sz w:val="14"/>
                <w:szCs w:val="14"/>
                <w:b w:val="1"/>
                <w:bCs w:val="1"/>
                <w:color w:val="2B4C9B"/>
              </w:rPr>
              <w:t>Effective</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Unamortized</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74"/>
              <w:spacing w:after="0"/>
              <w:rPr>
                <w:sz w:val="20"/>
                <w:szCs w:val="20"/>
                <w:color w:val="auto"/>
              </w:rPr>
            </w:pPr>
            <w:r>
              <w:rPr>
                <w:rFonts w:ascii="Arial" w:cs="Arial" w:eastAsia="Arial" w:hAnsi="Arial"/>
                <w:sz w:val="14"/>
                <w:szCs w:val="14"/>
                <w:color w:val="auto"/>
              </w:rPr>
              <w:t>Unamortized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2B4C9B"/>
              </w:rPr>
              <w:t>interest</w:t>
            </w:r>
          </w:p>
        </w:tc>
        <w:tc>
          <w:tcPr>
            <w:tcW w:w="1200" w:type="dxa"/>
            <w:vAlign w:val="bottom"/>
          </w:tcPr>
          <w:p>
            <w:pPr>
              <w:jc w:val="right"/>
              <w:ind w:right="364"/>
              <w:spacing w:after="0"/>
              <w:rPr>
                <w:sz w:val="20"/>
                <w:szCs w:val="20"/>
                <w:color w:val="auto"/>
              </w:rPr>
            </w:pPr>
            <w:r>
              <w:rPr>
                <w:rFonts w:ascii="Arial" w:cs="Arial" w:eastAsia="Arial" w:hAnsi="Arial"/>
                <w:sz w:val="14"/>
                <w:szCs w:val="14"/>
                <w:b w:val="1"/>
                <w:bCs w:val="1"/>
                <w:color w:val="2B4C9B"/>
              </w:rPr>
              <w:t>interest</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Debt Issuance</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right"/>
              <w:ind w:right="74"/>
              <w:spacing w:after="0"/>
              <w:rPr>
                <w:sz w:val="20"/>
                <w:szCs w:val="20"/>
                <w:color w:val="auto"/>
              </w:rPr>
            </w:pPr>
            <w:r>
              <w:rPr>
                <w:rFonts w:ascii="Arial" w:cs="Arial" w:eastAsia="Arial" w:hAnsi="Arial"/>
                <w:sz w:val="14"/>
                <w:szCs w:val="14"/>
                <w:color w:val="auto"/>
              </w:rPr>
              <w:t>Debt Issuance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228"/>
              <w:spacing w:after="0"/>
              <w:rPr>
                <w:sz w:val="20"/>
                <w:szCs w:val="20"/>
                <w:color w:val="auto"/>
              </w:rPr>
            </w:pPr>
            <w:r>
              <w:rPr>
                <w:rFonts w:ascii="Arial" w:cs="Arial" w:eastAsia="Arial" w:hAnsi="Arial"/>
                <w:sz w:val="14"/>
                <w:szCs w:val="14"/>
                <w:b w:val="1"/>
                <w:bCs w:val="1"/>
                <w:color w:val="2B4C9B"/>
              </w:rPr>
              <w:t>rate</w:t>
            </w:r>
          </w:p>
        </w:tc>
        <w:tc>
          <w:tcPr>
            <w:tcW w:w="1200" w:type="dxa"/>
            <w:vAlign w:val="bottom"/>
            <w:tcBorders>
              <w:bottom w:val="single" w:sz="8" w:color="2B4C9B"/>
            </w:tcBorders>
          </w:tcPr>
          <w:p>
            <w:pPr>
              <w:jc w:val="right"/>
              <w:ind w:right="364"/>
              <w:spacing w:after="0"/>
              <w:rPr>
                <w:sz w:val="20"/>
                <w:szCs w:val="20"/>
                <w:color w:val="auto"/>
              </w:rPr>
            </w:pPr>
            <w:r>
              <w:rPr>
                <w:rFonts w:ascii="Arial" w:cs="Arial" w:eastAsia="Arial" w:hAnsi="Arial"/>
                <w:sz w:val="14"/>
                <w:szCs w:val="14"/>
                <w:b w:val="1"/>
                <w:bCs w:val="1"/>
                <w:color w:val="2B4C9B"/>
              </w:rPr>
              <w:t>rate</w:t>
            </w:r>
          </w:p>
        </w:tc>
        <w:tc>
          <w:tcPr>
            <w:tcW w:w="76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b w:val="1"/>
                <w:bCs w:val="1"/>
                <w:color w:val="2B4C9B"/>
              </w:rPr>
              <w:t>Principal</w:t>
            </w:r>
          </w:p>
        </w:tc>
        <w:tc>
          <w:tcPr>
            <w:tcW w:w="28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75"/>
              <w:spacing w:after="0"/>
              <w:rPr>
                <w:sz w:val="20"/>
                <w:szCs w:val="20"/>
                <w:color w:val="auto"/>
              </w:rPr>
            </w:pPr>
            <w:r>
              <w:rPr>
                <w:rFonts w:ascii="Arial" w:cs="Arial" w:eastAsia="Arial" w:hAnsi="Arial"/>
                <w:sz w:val="14"/>
                <w:szCs w:val="14"/>
                <w:b w:val="1"/>
                <w:bCs w:val="1"/>
                <w:color w:val="2B4C9B"/>
              </w:rPr>
              <w:t>Costs</w:t>
            </w:r>
          </w:p>
        </w:tc>
        <w:tc>
          <w:tcPr>
            <w:tcW w:w="240" w:type="dxa"/>
            <w:vAlign w:val="bottom"/>
            <w:tcBorders>
              <w:bottom w:val="single" w:sz="8" w:color="2B4C9B"/>
            </w:tcBorders>
          </w:tcPr>
          <w:p>
            <w:pPr>
              <w:spacing w:after="0"/>
              <w:rPr>
                <w:sz w:val="17"/>
                <w:szCs w:val="17"/>
                <w:color w:val="auto"/>
              </w:rPr>
            </w:pPr>
          </w:p>
        </w:tc>
        <w:tc>
          <w:tcPr>
            <w:tcW w:w="64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b w:val="1"/>
                <w:bCs w:val="1"/>
                <w:color w:val="2B4C9B"/>
              </w:rPr>
              <w:t>Net</w:t>
            </w:r>
          </w:p>
        </w:tc>
        <w:tc>
          <w:tcPr>
            <w:tcW w:w="24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Principal</w:t>
            </w:r>
          </w:p>
        </w:tc>
        <w:tc>
          <w:tcPr>
            <w:tcW w:w="26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74"/>
              <w:spacing w:after="0"/>
              <w:rPr>
                <w:sz w:val="20"/>
                <w:szCs w:val="20"/>
                <w:color w:val="auto"/>
              </w:rPr>
            </w:pPr>
            <w:r>
              <w:rPr>
                <w:rFonts w:ascii="Arial" w:cs="Arial" w:eastAsia="Arial" w:hAnsi="Arial"/>
                <w:sz w:val="14"/>
                <w:szCs w:val="14"/>
                <w:color w:val="auto"/>
              </w:rPr>
              <w:t>Costs</w:t>
            </w:r>
          </w:p>
        </w:tc>
        <w:tc>
          <w:tcPr>
            <w:tcW w:w="24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3"/>
          </w:tcPr>
          <w:p>
            <w:pPr>
              <w:jc w:val="right"/>
              <w:ind w:right="53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Term Loan A Facility due October</w:t>
            </w:r>
          </w:p>
        </w:tc>
        <w:tc>
          <w:tcPr>
            <w:tcW w:w="9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2B4C9B"/>
              </w:rPr>
              <w:t xml:space="preserve">4.33%  </w:t>
            </w:r>
            <w:r>
              <w:rPr>
                <w:rFonts w:ascii="Arial" w:cs="Arial" w:eastAsia="Arial" w:hAnsi="Arial"/>
                <w:sz w:val="18"/>
                <w:szCs w:val="18"/>
                <w:b w:val="1"/>
                <w:bCs w:val="1"/>
                <w:color w:val="2B4C9B"/>
              </w:rPr>
              <w:t>$</w:t>
            </w:r>
          </w:p>
        </w:tc>
        <w:tc>
          <w:tcPr>
            <w:tcW w:w="7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1,068</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(14)</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1,054</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4.00%</w:t>
            </w:r>
          </w:p>
        </w:tc>
        <w:tc>
          <w:tcPr>
            <w:tcW w:w="12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Term Loan A Facility due August</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2B4C9B"/>
              </w:rPr>
              <w:t>—</w:t>
            </w:r>
          </w:p>
        </w:tc>
        <w:tc>
          <w:tcPr>
            <w:tcW w:w="280" w:type="dxa"/>
            <w:vAlign w:val="bottom"/>
          </w:tcPr>
          <w:p>
            <w:pPr>
              <w:spacing w:after="0"/>
              <w:rPr>
                <w:sz w:val="19"/>
                <w:szCs w:val="19"/>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2B4C9B"/>
              </w:rPr>
              <w:t>—</w:t>
            </w:r>
          </w:p>
        </w:tc>
        <w:tc>
          <w:tcPr>
            <w:tcW w:w="240" w:type="dxa"/>
            <w:vAlign w:val="bottom"/>
          </w:tcPr>
          <w:p>
            <w:pPr>
              <w:spacing w:after="0"/>
              <w:rPr>
                <w:sz w:val="19"/>
                <w:szCs w:val="19"/>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2B4C9B"/>
              </w:rPr>
              <w:t>—</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36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3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B Facility due October</w:t>
            </w:r>
          </w:p>
        </w:tc>
        <w:tc>
          <w:tcPr>
            <w:tcW w:w="9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2B4C9B"/>
              </w:rPr>
              <w:t>1,047</w:t>
            </w:r>
          </w:p>
        </w:tc>
        <w:tc>
          <w:tcPr>
            <w:tcW w:w="28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2B4C9B"/>
              </w:rPr>
              <w:t>(12)</w:t>
            </w:r>
          </w:p>
        </w:tc>
        <w:tc>
          <w:tcPr>
            <w:tcW w:w="240" w:type="dxa"/>
            <w:vAlign w:val="bottom"/>
            <w:shd w:val="clear" w:color="auto" w:fill="CCEEFF"/>
          </w:tcPr>
          <w:p>
            <w:pPr>
              <w:spacing w:after="0"/>
              <w:rPr>
                <w:sz w:val="20"/>
                <w:szCs w:val="20"/>
                <w:color w:val="auto"/>
              </w:rPr>
            </w:pPr>
          </w:p>
        </w:tc>
        <w:tc>
          <w:tcPr>
            <w:tcW w:w="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2B4C9B"/>
              </w:rPr>
              <w:t>1,035</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2B4C9B"/>
              </w:rPr>
              <w:t>4.25%</w:t>
            </w:r>
          </w:p>
        </w:tc>
        <w:tc>
          <w:tcPr>
            <w:tcW w:w="1200" w:type="dxa"/>
            <w:vAlign w:val="bottom"/>
            <w:shd w:val="clear" w:color="auto" w:fill="CCEEFF"/>
          </w:tcPr>
          <w:p>
            <w:pPr>
              <w:jc w:val="right"/>
              <w:ind w:right="224"/>
              <w:spacing w:after="0"/>
              <w:rPr>
                <w:sz w:val="20"/>
                <w:szCs w:val="20"/>
                <w:color w:val="auto"/>
              </w:rPr>
            </w:pPr>
            <w:r>
              <w:rPr>
                <w:rFonts w:ascii="Arial" w:cs="Arial" w:eastAsia="Arial" w:hAnsi="Arial"/>
                <w:sz w:val="14"/>
                <w:szCs w:val="14"/>
                <w:b w:val="1"/>
                <w:bCs w:val="1"/>
                <w:color w:val="2B4C9B"/>
              </w:rPr>
              <w:t>4.46%</w:t>
            </w:r>
          </w:p>
        </w:tc>
        <w:tc>
          <w:tcPr>
            <w:tcW w:w="76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Term Loan B Facility due May 2022</w:t>
            </w:r>
          </w:p>
        </w:tc>
        <w:tc>
          <w:tcPr>
            <w:tcW w:w="98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spacing w:after="0"/>
              <w:rPr>
                <w:sz w:val="22"/>
                <w:szCs w:val="22"/>
                <w:color w:val="auto"/>
              </w:rPr>
            </w:pPr>
          </w:p>
        </w:tc>
        <w:tc>
          <w:tcPr>
            <w:tcW w:w="76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w:t>
            </w:r>
          </w:p>
        </w:tc>
        <w:tc>
          <w:tcPr>
            <w:tcW w:w="28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6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2B4C9B"/>
            </w:tcBorders>
          </w:tcPr>
          <w:p>
            <w:pPr>
              <w:spacing w:after="0"/>
              <w:rPr>
                <w:sz w:val="22"/>
                <w:szCs w:val="22"/>
                <w:color w:val="auto"/>
              </w:rPr>
            </w:pPr>
          </w:p>
        </w:tc>
        <w:tc>
          <w:tcPr>
            <w:tcW w:w="104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0"/>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w:t>
            </w:r>
          </w:p>
        </w:tc>
        <w:tc>
          <w:tcPr>
            <w:tcW w:w="9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2,115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(26)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2,089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spacing w:after="0"/>
              <w:rPr>
                <w:sz w:val="22"/>
                <w:szCs w:val="22"/>
                <w:color w:val="auto"/>
              </w:rPr>
            </w:pPr>
          </w:p>
        </w:tc>
        <w:tc>
          <w:tcPr>
            <w:tcW w:w="76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24</w:t>
            </w:r>
          </w:p>
        </w:tc>
        <w:tc>
          <w:tcPr>
            <w:tcW w:w="28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6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24</w:t>
            </w:r>
          </w:p>
        </w:tc>
        <w:tc>
          <w:tcPr>
            <w:tcW w:w="24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2B4C9B"/>
            </w:tcBorders>
          </w:tcPr>
          <w:p>
            <w:pPr>
              <w:spacing w:after="0"/>
              <w:rPr>
                <w:sz w:val="22"/>
                <w:szCs w:val="22"/>
                <w:color w:val="auto"/>
              </w:rPr>
            </w:pPr>
          </w:p>
        </w:tc>
        <w:tc>
          <w:tcPr>
            <w:tcW w:w="104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 net of current</w:t>
            </w:r>
          </w:p>
        </w:tc>
        <w:tc>
          <w:tcPr>
            <w:tcW w:w="980" w:type="dxa"/>
            <w:vAlign w:val="bottom"/>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7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2,091</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(26)</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2,065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portion</w:t>
            </w:r>
          </w:p>
        </w:tc>
        <w:tc>
          <w:tcPr>
            <w:tcW w:w="980" w:type="dxa"/>
            <w:vAlign w:val="bottom"/>
            <w:tcBorders>
              <w:bottom w:val="single" w:sz="8" w:color="2B4C9B"/>
            </w:tcBorders>
            <w:shd w:val="clear" w:color="auto" w:fill="CFF0FC"/>
          </w:tcPr>
          <w:p>
            <w:pPr>
              <w:spacing w:after="0"/>
              <w:rPr>
                <w:sz w:val="20"/>
                <w:szCs w:val="20"/>
                <w:color w:val="auto"/>
              </w:rPr>
            </w:pPr>
          </w:p>
        </w:tc>
        <w:tc>
          <w:tcPr>
            <w:tcW w:w="1200" w:type="dxa"/>
            <w:vAlign w:val="bottom"/>
            <w:tcBorders>
              <w:bottom w:val="single" w:sz="8" w:color="2B4C9B"/>
            </w:tcBorders>
            <w:vMerge w:val="continue"/>
            <w:shd w:val="clear" w:color="auto" w:fill="CFF0FC"/>
          </w:tcPr>
          <w:p>
            <w:pPr>
              <w:spacing w:after="0"/>
              <w:rPr>
                <w:sz w:val="20"/>
                <w:szCs w:val="20"/>
                <w:color w:val="auto"/>
              </w:rPr>
            </w:pPr>
          </w:p>
        </w:tc>
        <w:tc>
          <w:tcPr>
            <w:tcW w:w="760" w:type="dxa"/>
            <w:vAlign w:val="bottom"/>
            <w:tcBorders>
              <w:bottom w:val="single" w:sz="8" w:color="2B4C9B"/>
            </w:tcBorders>
            <w:vMerge w:val="continue"/>
            <w:shd w:val="clear" w:color="auto" w:fill="CFF0FC"/>
          </w:tcPr>
          <w:p>
            <w:pPr>
              <w:spacing w:after="0"/>
              <w:rPr>
                <w:sz w:val="20"/>
                <w:szCs w:val="20"/>
                <w:color w:val="auto"/>
              </w:rPr>
            </w:pPr>
          </w:p>
        </w:tc>
        <w:tc>
          <w:tcPr>
            <w:tcW w:w="280" w:type="dxa"/>
            <w:vAlign w:val="bottom"/>
            <w:tcBorders>
              <w:bottom w:val="single" w:sz="8" w:color="2B4C9B"/>
            </w:tcBorders>
            <w:vMerge w:val="continue"/>
            <w:shd w:val="clear" w:color="auto" w:fill="CFF0FC"/>
          </w:tcPr>
          <w:p>
            <w:pPr>
              <w:spacing w:after="0"/>
              <w:rPr>
                <w:sz w:val="20"/>
                <w:szCs w:val="20"/>
                <w:color w:val="auto"/>
              </w:rPr>
            </w:pPr>
          </w:p>
        </w:tc>
        <w:tc>
          <w:tcPr>
            <w:tcW w:w="1140" w:type="dxa"/>
            <w:vAlign w:val="bottom"/>
            <w:tcBorders>
              <w:bottom w:val="single" w:sz="8" w:color="2B4C9B"/>
            </w:tcBorders>
            <w:vMerge w:val="continue"/>
            <w:shd w:val="clear" w:color="auto" w:fill="CFF0FC"/>
          </w:tcPr>
          <w:p>
            <w:pPr>
              <w:spacing w:after="0"/>
              <w:rPr>
                <w:sz w:val="20"/>
                <w:szCs w:val="20"/>
                <w:color w:val="auto"/>
              </w:rPr>
            </w:pPr>
          </w:p>
        </w:tc>
        <w:tc>
          <w:tcPr>
            <w:tcW w:w="240" w:type="dxa"/>
            <w:vAlign w:val="bottom"/>
            <w:tcBorders>
              <w:bottom w:val="single" w:sz="8" w:color="2B4C9B"/>
            </w:tcBorders>
            <w:vMerge w:val="continue"/>
            <w:shd w:val="clear" w:color="auto" w:fill="CFF0FC"/>
          </w:tcPr>
          <w:p>
            <w:pPr>
              <w:spacing w:after="0"/>
              <w:rPr>
                <w:sz w:val="20"/>
                <w:szCs w:val="20"/>
                <w:color w:val="auto"/>
              </w:rPr>
            </w:pPr>
          </w:p>
        </w:tc>
        <w:tc>
          <w:tcPr>
            <w:tcW w:w="640" w:type="dxa"/>
            <w:vAlign w:val="bottom"/>
            <w:tcBorders>
              <w:bottom w:val="single" w:sz="8" w:color="2B4C9B"/>
            </w:tcBorders>
            <w:vMerge w:val="continue"/>
            <w:shd w:val="clear" w:color="auto" w:fill="CFF0FC"/>
          </w:tcPr>
          <w:p>
            <w:pPr>
              <w:spacing w:after="0"/>
              <w:rPr>
                <w:sz w:val="20"/>
                <w:szCs w:val="20"/>
                <w:color w:val="auto"/>
              </w:rPr>
            </w:pP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994</w:t>
            </w:r>
          </w:p>
        </w:tc>
        <w:tc>
          <w:tcPr>
            <w:tcW w:w="260" w:type="dxa"/>
            <w:vAlign w:val="bottom"/>
            <w:tcBorders>
              <w:bottom w:val="single" w:sz="8" w:color="2B4C9B"/>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459"/>
        </w:trPr>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2B4C9B"/>
              </w:rPr>
              <w:t>F-36</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82" w:name="page83"/>
    <w:bookmarkEnd w:id="8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February 1, 2019, the Company has a $2.5 billion credit facility (the Credit Facility) consisting of a $400 million secured Revolving Credit Facility due October 2023, a $1,068 million secured Term Loan A Facility due October 2023, and a $1,047 million secured Term Loan B Facility due October 2025 (together, the Term Loan Facilities). There is no balance outstanding on the Revolving Credit Facility due October 2023 as of February 1, 2019. Any obligations under the Credit Facility are secured by liens on substantially all of the assets of the Company and its subsidiaries.</w:t>
      </w:r>
    </w:p>
    <w:p>
      <w:pPr>
        <w:spacing w:after="0" w:line="16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February 2, 2018, the Company had a $1.2 billion credit facility consisting of a $200 million secured Revolving Credit Facility due August 2021, a $635 million secured Term Loan A Facility due August 2021, and a $400 million secured Term Loan B Facility due May 2022 under the First Amendment to the Second Amended and Restated Credit Agreement (First Amendment).</w:t>
      </w:r>
    </w:p>
    <w:p>
      <w:pPr>
        <w:spacing w:after="0" w:line="16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February 7, 2018, the Company executed the Second Amendment to the Second Amended and Restated Credit Agreement (Second Amendment) reducing the interest rate margins by 0.25%, 0.50%, and 0.25%, across all leverage ratios for the Term Loan A Facility due August 2021, the Term Loan B Facility due May 2022, and the Revolving Credit Facility due August 2021, respectively. Effective upon execution of the Second Amendment, the applicable margin with respect to the Term Loan A Facility due August 2021 and borrowings under the Revolving Credit Facility due August 2021 ranged from 1.25% to 2.00% for Eurocurrency Rate loans, and 0.25% to 1.00% for Base Rate loans. Under the Second Amendment, interest rate margins for the Term Loan B Facility due May 2022 were 2.00%, subject to a 0.75% floor for Eurocurrency Rate loans, or 1.00% for Base Rate loans. The Company incurred and paid $2 million in fees associated with the Second Amendment, including $1 million of deferred financing fees.</w:t>
      </w:r>
    </w:p>
    <w:p>
      <w:pPr>
        <w:spacing w:after="0" w:line="16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On October 31, 2018, the Company entered into the Third Amended and Restated Credit Agreement (Third Amended Credit Agreement) in anticipation of the acquisition of Engility (see Note 4). The Third Amended Credit Agreement, among other things, provided for and permitted:</w:t>
      </w:r>
    </w:p>
    <w:p>
      <w:pPr>
        <w:spacing w:after="0" w:line="1" w:lineRule="exact"/>
        <w:rPr>
          <w:sz w:val="20"/>
          <w:szCs w:val="20"/>
          <w:color w:val="auto"/>
        </w:rPr>
      </w:pPr>
    </w:p>
    <w:p>
      <w:pPr>
        <w:jc w:val="both"/>
        <w:ind w:right="160" w:firstLine="8"/>
        <w:spacing w:after="0" w:line="254"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of Engility; 2) the establishment of a senior secured Term Loan B Facility due October 2025 in the amount of $1.1 billion; 3) the establishment of a senior secured Term Loan A Facility Commitment due October 2023 in the amount of $1.1 billion; 4) an increase to the existing $200 million Revolving Credit Facility by an additional $200 million upon the effectiveness of the acquisition of Engility; and, 5) an extension to the term of the Revolving Credit Facility to October 2023.</w:t>
      </w:r>
    </w:p>
    <w:p>
      <w:pPr>
        <w:spacing w:after="0" w:line="16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Term Loan B Facility due October 2025 was funded in full in October 2018 and the proceeds were used to repay all indebtedness outstanding under the Second Amendment and related expenses.</w:t>
      </w:r>
    </w:p>
    <w:p>
      <w:pPr>
        <w:spacing w:after="0" w:line="15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January 14, 2019, in connection with the acquisition of Engility, the Company funded the Term Loan A Facility in the amount of $1.1 billion and increased the existing Revolving Credit Facility to $400 million. The proceeds were used to partially finance the acquisition of Engility and for general corporate purposes.</w:t>
      </w:r>
    </w:p>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incurred $31 million of debt issue costs associated with the Third Amended Credit Agreement. The Company recognized $ 5 million in expenses associated with the Third Amended Credit Agreement, which is included in interest expense and includes a $4 million loss on extinguishment of debt. The Company deferred $26 million in financing fees that are amortized to interest expense utilizing the effective interest method.</w:t>
      </w:r>
    </w:p>
    <w:p>
      <w:pPr>
        <w:spacing w:after="0" w:line="16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Borrowings under the Term Loan A Facility due October 2023 will amortize quarterly beginning on January 31, 2020 at 1.25% of the original borrowed amount thereunder, with such quarterly amortization payments increasing to 1.875% on January 31, 2021 and then to 2.50% on January 31, 2022. The Term Loan B Facility due October 2025 will amortize quarterly at 0.25% of the original borrowed amount beginning on January 31, 2019.</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Beginning with SAIC’s fiscal year ending on or about January 31, 2020, the scheduled principal repayments for the Term Loan A and Term Loan B facilities may be further reduced or eliminated by annual mandatory prepayments of a portion of SAIC’s Excess Cash Flow (as defined in the Third Amended Credit Agreement). Mandatory principal prepayments are allocated to Term Loan A and Term Loan B facilities on a pro rata basis and reduce the remaining scheduled principal installments for each facility. Voluntary principal prepayments may be applied to either or both loans at the Company’s direction. The Company made no voluntary principal prepayments during fiscal 2019. Subsequent to the end of fiscal 2019, the Company made $150 million of voluntary principal prepayments on the Term Loan A Facility due October 2023.</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F-37</w:t>
      </w:r>
    </w:p>
    <w:p>
      <w:pPr>
        <w:sectPr>
          <w:pgSz w:w="11900" w:h="16838" w:orient="portrait"/>
          <w:cols w:equalWidth="0" w:num="1">
            <w:col w:w="11400"/>
          </w:cols>
          <w:pgMar w:left="240" w:top="141" w:right="259" w:bottom="1440" w:gutter="0" w:footer="0" w:header="0"/>
        </w:sectPr>
      </w:pPr>
    </w:p>
    <w:bookmarkStart w:id="83" w:name="page84"/>
    <w:bookmarkEnd w:id="8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Borrowings under the Third Amended Credit Agreement bear interest at a variable rate of interest based on LIBOR or a Base Rate, plus in each case an applicable margin. Applicable margins with respect to borrowings under the Term Loan B Facility due October 2025 are 1.75% for LIBOR loans and 0.75% for Base Rate loans. Applicable margins with respect to borrowings under the Term Loan A Facility due October 2023 and the Revolving Credit Facility due October 2023 range from 1.25% to 2.00% for LIBOR loans and 0.25% to 1.00% for Base Rate loans, in each case based on the then applicable Leverage Ratio (as defined in the Third Amended Credit Agreement). The Company also pays a commitment fee with respect to undrawn amounts under the Revolving Credit Facility due October 2023 ranging from 0.20% to 0.35%.</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Third Amended Credit Agreement contains certain restrictive covenants applicable to the Company and its subsidiaries including a requirement to maintain a Senior Secured Leverage Ratio (as defined in the Third Amended Credit Agreement) of not greater than 3.75 to 1.00 until the effectiveness of the acquisition, not greater than 4.50 to 1.00 upon the effectiveness of the acquisition and for the succeeding six fiscal quarters, and not greater than 4.00 to 1.00 thereafter, unless a Permitted Acquisition (as defined in the Third Amended Credit Agreement) occurs in which case not greater than 4.25 to 1.00 for three consecutive quarters following such a transaction. As of February 1, 2019, the Company was in compliance with the covenants under the Third Amended Credit Agreement. Maturities of long-term debt as of February 1, 2019 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36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Total</w:t>
            </w:r>
          </w:p>
        </w:tc>
      </w:tr>
      <w:tr>
        <w:trPr>
          <w:trHeight w:val="264"/>
        </w:trPr>
        <w:tc>
          <w:tcPr>
            <w:tcW w:w="59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4"/>
                <w:szCs w:val="14"/>
                <w:color w:val="auto"/>
              </w:rPr>
              <w:t>(in millions)</w:t>
            </w:r>
          </w:p>
        </w:tc>
      </w:tr>
      <w:tr>
        <w:trPr>
          <w:trHeight w:val="263"/>
        </w:trPr>
        <w:tc>
          <w:tcPr>
            <w:tcW w:w="5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4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2021</w:t>
            </w:r>
          </w:p>
        </w:tc>
        <w:tc>
          <w:tcPr>
            <w:tcW w:w="4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70</w:t>
            </w:r>
          </w:p>
        </w:tc>
      </w:tr>
      <w:tr>
        <w:trPr>
          <w:trHeight w:val="263"/>
        </w:trPr>
        <w:tc>
          <w:tcPr>
            <w:tcW w:w="5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4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68</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2023</w:t>
            </w:r>
          </w:p>
        </w:tc>
        <w:tc>
          <w:tcPr>
            <w:tcW w:w="4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w:t>
            </w:r>
          </w:p>
        </w:tc>
      </w:tr>
      <w:tr>
        <w:trPr>
          <w:trHeight w:val="263"/>
        </w:trPr>
        <w:tc>
          <w:tcPr>
            <w:tcW w:w="5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4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811</w:t>
            </w:r>
          </w:p>
        </w:tc>
      </w:tr>
      <w:tr>
        <w:trPr>
          <w:trHeight w:val="250"/>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436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995</w:t>
            </w:r>
          </w:p>
        </w:tc>
      </w:tr>
      <w:tr>
        <w:trPr>
          <w:trHeight w:val="264"/>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principal payments</w:t>
            </w:r>
          </w:p>
        </w:tc>
        <w:tc>
          <w:tcPr>
            <w:tcW w:w="4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2,115</w:t>
            </w:r>
          </w:p>
        </w:tc>
      </w:tr>
    </w:tbl>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February 1, 2019 and February 2, 2018, the carrying value of the Company’s outstanding debt obligations approximated its fair value. The fair value of long-term debt is calculated using Level 2 inputs, based on interest rates available for debt with terms and maturities similar to the Company’s Term Loan Facilities.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F-38</w:t>
      </w:r>
    </w:p>
    <w:p>
      <w:pPr>
        <w:sectPr>
          <w:pgSz w:w="11900" w:h="16838" w:orient="portrait"/>
          <w:cols w:equalWidth="0" w:num="1">
            <w:col w:w="11420"/>
          </w:cols>
          <w:pgMar w:left="240" w:top="141" w:right="239" w:bottom="1440" w:gutter="0" w:footer="0" w:header="0"/>
        </w:sectPr>
      </w:pPr>
    </w:p>
    <w:bookmarkStart w:id="84" w:name="page85"/>
    <w:bookmarkEnd w:id="8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11—Derivative Instruments Designated as Cash Flow Hedges: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derivative instruments designated as cash flow hedges consist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bottom w:val="single" w:sz="8" w:color="2B4C9B"/>
            </w:tcBorders>
          </w:tcPr>
          <w:p>
            <w:pPr>
              <w:spacing w:after="0"/>
              <w:rPr>
                <w:sz w:val="16"/>
                <w:szCs w:val="16"/>
                <w:color w:val="auto"/>
              </w:rPr>
            </w:pPr>
          </w:p>
        </w:tc>
        <w:tc>
          <w:tcPr>
            <w:tcW w:w="2280" w:type="dxa"/>
            <w:vAlign w:val="bottom"/>
            <w:tcBorders>
              <w:bottom w:val="single" w:sz="8" w:color="2B4C9B"/>
            </w:tcBorders>
            <w:gridSpan w:val="3"/>
          </w:tcPr>
          <w:p>
            <w:pPr>
              <w:jc w:val="right"/>
              <w:ind w:right="194"/>
              <w:spacing w:after="0"/>
              <w:rPr>
                <w:sz w:val="20"/>
                <w:szCs w:val="20"/>
                <w:color w:val="auto"/>
              </w:rPr>
            </w:pPr>
            <w:r>
              <w:rPr>
                <w:rFonts w:ascii="Arial" w:cs="Arial" w:eastAsia="Arial" w:hAnsi="Arial"/>
                <w:sz w:val="14"/>
                <w:szCs w:val="14"/>
                <w:color w:val="auto"/>
              </w:rPr>
              <w:t>Asset (Liability) Fair Value</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at</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jc w:val="right"/>
              <w:ind w:right="98"/>
              <w:spacing w:after="0" w:line="156" w:lineRule="exact"/>
              <w:rPr>
                <w:sz w:val="20"/>
                <w:szCs w:val="20"/>
                <w:color w:val="auto"/>
              </w:rPr>
            </w:pPr>
            <w:r>
              <w:rPr>
                <w:rFonts w:ascii="Arial" w:cs="Arial" w:eastAsia="Arial" w:hAnsi="Arial"/>
                <w:sz w:val="14"/>
                <w:szCs w:val="14"/>
                <w:b w:val="1"/>
                <w:bCs w:val="1"/>
                <w:color w:val="2B4C9B"/>
              </w:rPr>
              <w:t>Notional</w:t>
            </w: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Arial" w:cs="Arial" w:eastAsia="Arial" w:hAnsi="Arial"/>
                <w:sz w:val="14"/>
                <w:szCs w:val="14"/>
                <w:b w:val="1"/>
                <w:bCs w:val="1"/>
                <w:color w:val="2B4C9B"/>
              </w:rPr>
              <w:t>Amount at</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Arial" w:cs="Arial" w:eastAsia="Arial" w:hAnsi="Arial"/>
                <w:sz w:val="14"/>
                <w:szCs w:val="14"/>
                <w:b w:val="1"/>
                <w:bCs w:val="1"/>
                <w:color w:val="2B4C9B"/>
              </w:rPr>
              <w:t>February 1,</w:t>
            </w:r>
          </w:p>
        </w:tc>
        <w:tc>
          <w:tcPr>
            <w:tcW w:w="1080" w:type="dxa"/>
            <w:vAlign w:val="bottom"/>
          </w:tcPr>
          <w:p>
            <w:pPr>
              <w:jc w:val="right"/>
              <w:ind w:right="175"/>
              <w:spacing w:after="0"/>
              <w:rPr>
                <w:sz w:val="20"/>
                <w:szCs w:val="20"/>
                <w:color w:val="auto"/>
              </w:rPr>
            </w:pPr>
            <w:r>
              <w:rPr>
                <w:rFonts w:ascii="Arial" w:cs="Arial" w:eastAsia="Arial" w:hAnsi="Arial"/>
                <w:sz w:val="14"/>
                <w:szCs w:val="14"/>
                <w:color w:val="auto"/>
              </w:rPr>
              <w:t>Pay Fixed</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Receive Variable</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Settlement and</w:t>
            </w:r>
          </w:p>
        </w:tc>
        <w:tc>
          <w:tcPr>
            <w:tcW w:w="22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2B4C9B"/>
              </w:rPr>
              <w:t>February 1,</w:t>
            </w:r>
          </w:p>
        </w:tc>
        <w:tc>
          <w:tcPr>
            <w:tcW w:w="24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2B4C9B"/>
            </w:tcBorders>
          </w:tcPr>
          <w:p>
            <w:pPr>
              <w:spacing w:after="0"/>
              <w:rPr>
                <w:sz w:val="17"/>
                <w:szCs w:val="17"/>
                <w:color w:val="auto"/>
              </w:rPr>
            </w:pPr>
          </w:p>
        </w:tc>
        <w:tc>
          <w:tcPr>
            <w:tcW w:w="7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98"/>
              <w:spacing w:after="0"/>
              <w:rPr>
                <w:sz w:val="20"/>
                <w:szCs w:val="20"/>
                <w:color w:val="auto"/>
              </w:rPr>
            </w:pPr>
            <w:r>
              <w:rPr>
                <w:rFonts w:ascii="Arial" w:cs="Arial" w:eastAsia="Arial" w:hAnsi="Arial"/>
                <w:sz w:val="14"/>
                <w:szCs w:val="14"/>
                <w:b w:val="1"/>
                <w:bCs w:val="1"/>
                <w:color w:val="2B4C9B"/>
              </w:rPr>
              <w:t>2019</w:t>
            </w:r>
          </w:p>
        </w:tc>
        <w:tc>
          <w:tcPr>
            <w:tcW w:w="1080" w:type="dxa"/>
            <w:vAlign w:val="bottom"/>
            <w:tcBorders>
              <w:bottom w:val="single" w:sz="8" w:color="2B4C9B"/>
            </w:tcBorders>
          </w:tcPr>
          <w:p>
            <w:pPr>
              <w:jc w:val="right"/>
              <w:ind w:right="175"/>
              <w:spacing w:after="0"/>
              <w:rPr>
                <w:sz w:val="20"/>
                <w:szCs w:val="20"/>
                <w:color w:val="auto"/>
              </w:rPr>
            </w:pPr>
            <w:r>
              <w:rPr>
                <w:rFonts w:ascii="Arial" w:cs="Arial" w:eastAsia="Arial" w:hAnsi="Arial"/>
                <w:sz w:val="14"/>
                <w:szCs w:val="14"/>
                <w:color w:val="auto"/>
              </w:rPr>
              <w:t>Rate</w:t>
            </w:r>
          </w:p>
        </w:tc>
        <w:tc>
          <w:tcPr>
            <w:tcW w:w="138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color w:val="auto"/>
              </w:rPr>
              <w:t>Rate</w:t>
            </w:r>
          </w:p>
        </w:tc>
        <w:tc>
          <w:tcPr>
            <w:tcW w:w="186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color w:val="auto"/>
              </w:rPr>
              <w:t>Termination</w:t>
            </w:r>
          </w:p>
        </w:tc>
        <w:tc>
          <w:tcPr>
            <w:tcW w:w="22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b w:val="1"/>
                <w:bCs w:val="1"/>
                <w:color w:val="2B4C9B"/>
              </w:rPr>
              <w:t>2019</w:t>
            </w:r>
          </w:p>
        </w:tc>
        <w:tc>
          <w:tcPr>
            <w:tcW w:w="24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3"/>
          </w:tcPr>
          <w:p>
            <w:pPr>
              <w:jc w:val="right"/>
              <w:ind w:right="794"/>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0"/>
        </w:trPr>
        <w:tc>
          <w:tcPr>
            <w:tcW w:w="25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Interest rate swaps #1</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vMerge w:val="restart"/>
            <w:shd w:val="clear" w:color="auto" w:fill="CFF0FC"/>
          </w:tcPr>
          <w:p>
            <w:pPr>
              <w:jc w:val="right"/>
              <w:ind w:right="98"/>
              <w:spacing w:after="0"/>
              <w:rPr>
                <w:sz w:val="20"/>
                <w:szCs w:val="20"/>
                <w:color w:val="auto"/>
              </w:rPr>
            </w:pPr>
            <w:r>
              <w:rPr>
                <w:rFonts w:ascii="Arial" w:cs="Arial" w:eastAsia="Arial" w:hAnsi="Arial"/>
                <w:sz w:val="18"/>
                <w:szCs w:val="18"/>
                <w:b w:val="1"/>
                <w:bCs w:val="1"/>
                <w:color w:val="2B4C9B"/>
              </w:rPr>
              <w:t>—</w:t>
            </w:r>
          </w:p>
        </w:tc>
        <w:tc>
          <w:tcPr>
            <w:tcW w:w="10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1.41%</w:t>
            </w:r>
          </w:p>
        </w:tc>
        <w:tc>
          <w:tcPr>
            <w:tcW w:w="138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Monthly through</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80" w:type="dxa"/>
            <w:vAlign w:val="bottom"/>
            <w:vMerge w:val="restart"/>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252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1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September 26, 2018</w:t>
            </w:r>
          </w:p>
        </w:tc>
        <w:tc>
          <w:tcPr>
            <w:tcW w:w="220" w:type="dxa"/>
            <w:vAlign w:val="bottom"/>
            <w:vMerge w:val="continue"/>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Interest rate swaps #2</w:t>
            </w:r>
            <w:r>
              <w:rPr>
                <w:rFonts w:ascii="Arial" w:cs="Arial" w:eastAsia="Arial" w:hAnsi="Arial"/>
                <w:sz w:val="21"/>
                <w:szCs w:val="21"/>
                <w:color w:val="auto"/>
                <w:vertAlign w:val="superscript"/>
              </w:rPr>
              <w:t>(2)</w:t>
            </w:r>
          </w:p>
        </w:tc>
        <w:tc>
          <w:tcPr>
            <w:tcW w:w="740" w:type="dxa"/>
            <w:vAlign w:val="bottom"/>
          </w:tcPr>
          <w:p>
            <w:pPr>
              <w:spacing w:after="0"/>
              <w:rPr>
                <w:sz w:val="16"/>
                <w:szCs w:val="16"/>
                <w:color w:val="auto"/>
              </w:rPr>
            </w:pPr>
          </w:p>
        </w:tc>
        <w:tc>
          <w:tcPr>
            <w:tcW w:w="112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2B4C9B"/>
              </w:rPr>
              <w:t>—</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1.88%</w:t>
            </w:r>
          </w:p>
        </w:tc>
        <w:tc>
          <w:tcPr>
            <w:tcW w:w="1380" w:type="dxa"/>
            <w:vAlign w:val="bottom"/>
          </w:tcPr>
          <w:p>
            <w:pPr>
              <w:spacing w:after="0"/>
              <w:rPr>
                <w:sz w:val="16"/>
                <w:szCs w:val="16"/>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Quarterly through May 7,</w:t>
            </w:r>
          </w:p>
        </w:tc>
        <w:tc>
          <w:tcPr>
            <w:tcW w:w="220" w:type="dxa"/>
            <w:vAlign w:val="bottom"/>
          </w:tcPr>
          <w:p>
            <w:pPr>
              <w:spacing w:after="0"/>
              <w:rPr>
                <w:sz w:val="16"/>
                <w:szCs w:val="16"/>
                <w:color w:val="auto"/>
              </w:rPr>
            </w:pPr>
          </w:p>
        </w:tc>
        <w:tc>
          <w:tcPr>
            <w:tcW w:w="108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2B4C9B"/>
              </w:rPr>
              <w:t>—</w:t>
            </w:r>
          </w:p>
        </w:tc>
        <w:tc>
          <w:tcPr>
            <w:tcW w:w="240" w:type="dxa"/>
            <w:vAlign w:val="bottom"/>
          </w:tcPr>
          <w:p>
            <w:pPr>
              <w:spacing w:after="0"/>
              <w:rPr>
                <w:sz w:val="16"/>
                <w:szCs w:val="16"/>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5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tcPr>
          <w:p>
            <w:pPr>
              <w:jc w:val="right"/>
              <w:ind w:right="68"/>
              <w:spacing w:after="0" w:line="189" w:lineRule="exact"/>
              <w:rPr>
                <w:sz w:val="20"/>
                <w:szCs w:val="20"/>
                <w:color w:val="auto"/>
              </w:rPr>
            </w:pPr>
            <w:r>
              <w:rPr>
                <w:rFonts w:ascii="Arial" w:cs="Arial" w:eastAsia="Arial" w:hAnsi="Arial"/>
                <w:sz w:val="14"/>
                <w:szCs w:val="14"/>
                <w:color w:val="auto"/>
              </w:rPr>
              <w:t>3-month LIBOR</w:t>
            </w:r>
            <w:r>
              <w:rPr>
                <w:rFonts w:ascii="Arial" w:cs="Arial" w:eastAsia="Arial" w:hAnsi="Arial"/>
                <w:sz w:val="17"/>
                <w:szCs w:val="17"/>
                <w:color w:val="auto"/>
                <w:vertAlign w:val="superscript"/>
              </w:rPr>
              <w:t>(3)</w:t>
            </w:r>
          </w:p>
        </w:tc>
        <w:tc>
          <w:tcPr>
            <w:tcW w:w="1860" w:type="dxa"/>
            <w:vAlign w:val="bottom"/>
          </w:tcPr>
          <w:p>
            <w:pPr>
              <w:jc w:val="right"/>
              <w:ind w:right="48"/>
              <w:spacing w:after="0" w:line="189" w:lineRule="exact"/>
              <w:rPr>
                <w:sz w:val="20"/>
                <w:szCs w:val="20"/>
                <w:color w:val="auto"/>
              </w:rPr>
            </w:pPr>
            <w:r>
              <w:rPr>
                <w:rFonts w:ascii="Arial" w:cs="Arial" w:eastAsia="Arial" w:hAnsi="Arial"/>
                <w:sz w:val="14"/>
                <w:szCs w:val="14"/>
                <w:color w:val="auto"/>
              </w:rPr>
              <w:t xml:space="preserve">2020 </w:t>
            </w:r>
            <w:r>
              <w:rPr>
                <w:rFonts w:ascii="Arial" w:cs="Arial" w:eastAsia="Arial" w:hAnsi="Arial"/>
                <w:sz w:val="17"/>
                <w:szCs w:val="17"/>
                <w:color w:val="auto"/>
                <w:vertAlign w:val="superscript"/>
              </w:rPr>
              <w:t>(2)</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Interest rate swaps #3</w:t>
            </w:r>
            <w:r>
              <w:rPr>
                <w:rFonts w:ascii="Arial" w:cs="Arial" w:eastAsia="Arial" w:hAnsi="Arial"/>
                <w:sz w:val="21"/>
                <w:szCs w:val="21"/>
                <w:color w:val="auto"/>
                <w:vertAlign w:val="superscript"/>
              </w:rPr>
              <w:t>(4)</w:t>
            </w:r>
          </w:p>
        </w:tc>
        <w:tc>
          <w:tcPr>
            <w:tcW w:w="74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98"/>
              <w:spacing w:after="0"/>
              <w:rPr>
                <w:sz w:val="20"/>
                <w:szCs w:val="20"/>
                <w:color w:val="auto"/>
              </w:rPr>
            </w:pPr>
            <w:r>
              <w:rPr>
                <w:rFonts w:ascii="Arial" w:cs="Arial" w:eastAsia="Arial" w:hAnsi="Arial"/>
                <w:sz w:val="18"/>
                <w:szCs w:val="18"/>
                <w:b w:val="1"/>
                <w:bCs w:val="1"/>
                <w:color w:val="2B4C9B"/>
              </w:rPr>
              <w:t>353</w:t>
            </w:r>
          </w:p>
        </w:tc>
        <w:tc>
          <w:tcPr>
            <w:tcW w:w="10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2.78%</w:t>
            </w:r>
          </w:p>
        </w:tc>
        <w:tc>
          <w:tcPr>
            <w:tcW w:w="1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Monthly through July 30,</w:t>
            </w:r>
          </w:p>
        </w:tc>
        <w:tc>
          <w:tcPr>
            <w:tcW w:w="2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(2)</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520" w:type="dxa"/>
            <w:vAlign w:val="bottom"/>
            <w:vMerge w:val="continue"/>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1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Interest rate swaps #4</w:t>
            </w:r>
            <w:r>
              <w:rPr>
                <w:rFonts w:ascii="Arial" w:cs="Arial" w:eastAsia="Arial" w:hAnsi="Arial"/>
                <w:sz w:val="21"/>
                <w:szCs w:val="21"/>
                <w:color w:val="auto"/>
                <w:vertAlign w:val="superscript"/>
              </w:rPr>
              <w:t>(5)</w:t>
            </w:r>
          </w:p>
        </w:tc>
        <w:tc>
          <w:tcPr>
            <w:tcW w:w="740" w:type="dxa"/>
            <w:vAlign w:val="bottom"/>
          </w:tcPr>
          <w:p>
            <w:pPr>
              <w:spacing w:after="0"/>
              <w:rPr>
                <w:sz w:val="16"/>
                <w:szCs w:val="16"/>
                <w:color w:val="auto"/>
              </w:rPr>
            </w:pPr>
          </w:p>
        </w:tc>
        <w:tc>
          <w:tcPr>
            <w:tcW w:w="112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2B4C9B"/>
              </w:rPr>
              <w:t>500</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3.07%</w:t>
            </w:r>
          </w:p>
        </w:tc>
        <w:tc>
          <w:tcPr>
            <w:tcW w:w="1380" w:type="dxa"/>
            <w:vAlign w:val="bottom"/>
          </w:tcPr>
          <w:p>
            <w:pPr>
              <w:spacing w:after="0"/>
              <w:rPr>
                <w:sz w:val="16"/>
                <w:szCs w:val="16"/>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Monthly through October</w:t>
            </w:r>
          </w:p>
        </w:tc>
        <w:tc>
          <w:tcPr>
            <w:tcW w:w="220" w:type="dxa"/>
            <w:vAlign w:val="bottom"/>
          </w:tcPr>
          <w:p>
            <w:pPr>
              <w:spacing w:after="0"/>
              <w:rPr>
                <w:sz w:val="16"/>
                <w:szCs w:val="16"/>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2B4C9B"/>
              </w:rPr>
              <w:t>(21)</w:t>
            </w:r>
          </w:p>
        </w:tc>
        <w:tc>
          <w:tcPr>
            <w:tcW w:w="240" w:type="dxa"/>
            <w:vAlign w:val="bottom"/>
          </w:tcPr>
          <w:p>
            <w:pPr>
              <w:spacing w:after="0"/>
              <w:rPr>
                <w:sz w:val="16"/>
                <w:szCs w:val="16"/>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5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31, 2025</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Interest rate swaps #5</w:t>
            </w:r>
            <w:r>
              <w:rPr>
                <w:rFonts w:ascii="Arial" w:cs="Arial" w:eastAsia="Arial" w:hAnsi="Arial"/>
                <w:sz w:val="21"/>
                <w:szCs w:val="21"/>
                <w:color w:val="auto"/>
                <w:vertAlign w:val="superscript"/>
              </w:rPr>
              <w:t>(6)</w:t>
            </w:r>
          </w:p>
        </w:tc>
        <w:tc>
          <w:tcPr>
            <w:tcW w:w="74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98"/>
              <w:spacing w:after="0"/>
              <w:rPr>
                <w:sz w:val="20"/>
                <w:szCs w:val="20"/>
                <w:color w:val="auto"/>
              </w:rPr>
            </w:pPr>
            <w:r>
              <w:rPr>
                <w:rFonts w:ascii="Arial" w:cs="Arial" w:eastAsia="Arial" w:hAnsi="Arial"/>
                <w:sz w:val="18"/>
                <w:szCs w:val="18"/>
                <w:b w:val="1"/>
                <w:bCs w:val="1"/>
                <w:color w:val="2B4C9B"/>
              </w:rPr>
              <w:t>500</w:t>
            </w:r>
          </w:p>
        </w:tc>
        <w:tc>
          <w:tcPr>
            <w:tcW w:w="10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2.49%</w:t>
            </w:r>
          </w:p>
        </w:tc>
        <w:tc>
          <w:tcPr>
            <w:tcW w:w="138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Monthly through October</w:t>
            </w:r>
          </w:p>
        </w:tc>
        <w:tc>
          <w:tcPr>
            <w:tcW w:w="2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(1)</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520" w:type="dxa"/>
            <w:vAlign w:val="bottom"/>
            <w:tcBorders>
              <w:bottom w:val="single" w:sz="8" w:color="2B4C9B"/>
            </w:tcBorders>
            <w:vMerge w:val="continue"/>
            <w:shd w:val="clear" w:color="auto" w:fill="CFF0FC"/>
          </w:tcPr>
          <w:p>
            <w:pPr>
              <w:spacing w:after="0"/>
              <w:rPr>
                <w:sz w:val="16"/>
                <w:szCs w:val="16"/>
                <w:color w:val="auto"/>
              </w:rPr>
            </w:pPr>
          </w:p>
        </w:tc>
        <w:tc>
          <w:tcPr>
            <w:tcW w:w="740" w:type="dxa"/>
            <w:vAlign w:val="bottom"/>
            <w:tcBorders>
              <w:bottom w:val="single" w:sz="8" w:color="2B4C9B"/>
            </w:tcBorders>
            <w:shd w:val="clear" w:color="auto" w:fill="CFF0FC"/>
          </w:tcPr>
          <w:p>
            <w:pPr>
              <w:spacing w:after="0"/>
              <w:rPr>
                <w:sz w:val="16"/>
                <w:szCs w:val="16"/>
                <w:color w:val="auto"/>
              </w:rPr>
            </w:pPr>
          </w:p>
        </w:tc>
        <w:tc>
          <w:tcPr>
            <w:tcW w:w="1120" w:type="dxa"/>
            <w:vAlign w:val="bottom"/>
            <w:tcBorders>
              <w:bottom w:val="single" w:sz="8" w:color="2B4C9B"/>
            </w:tcBorders>
            <w:vMerge w:val="continue"/>
            <w:shd w:val="clear" w:color="auto" w:fill="CFF0FC"/>
          </w:tcPr>
          <w:p>
            <w:pPr>
              <w:spacing w:after="0"/>
              <w:rPr>
                <w:sz w:val="16"/>
                <w:szCs w:val="16"/>
                <w:color w:val="auto"/>
              </w:rPr>
            </w:pPr>
          </w:p>
        </w:tc>
        <w:tc>
          <w:tcPr>
            <w:tcW w:w="1080" w:type="dxa"/>
            <w:vAlign w:val="bottom"/>
            <w:tcBorders>
              <w:bottom w:val="single" w:sz="8" w:color="2B4C9B"/>
            </w:tcBorders>
            <w:vMerge w:val="continue"/>
            <w:shd w:val="clear" w:color="auto" w:fill="CFF0FC"/>
          </w:tcPr>
          <w:p>
            <w:pPr>
              <w:spacing w:after="0"/>
              <w:rPr>
                <w:sz w:val="16"/>
                <w:szCs w:val="16"/>
                <w:color w:val="auto"/>
              </w:rPr>
            </w:pPr>
          </w:p>
        </w:tc>
        <w:tc>
          <w:tcPr>
            <w:tcW w:w="1380" w:type="dxa"/>
            <w:vAlign w:val="bottom"/>
            <w:tcBorders>
              <w:bottom w:val="single" w:sz="8" w:color="2B4C9B"/>
            </w:tcBorders>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tcBorders>
              <w:bottom w:val="single" w:sz="8" w:color="2B4C9B"/>
            </w:tcBorders>
            <w:shd w:val="clear" w:color="auto" w:fill="CFF0FC"/>
          </w:tcPr>
          <w:p>
            <w:pPr>
              <w:jc w:val="right"/>
              <w:ind w:right="48"/>
              <w:spacing w:after="0"/>
              <w:rPr>
                <w:sz w:val="20"/>
                <w:szCs w:val="20"/>
                <w:color w:val="auto"/>
              </w:rPr>
            </w:pPr>
            <w:r>
              <w:rPr>
                <w:rFonts w:ascii="Arial" w:cs="Arial" w:eastAsia="Arial" w:hAnsi="Arial"/>
                <w:sz w:val="14"/>
                <w:szCs w:val="14"/>
                <w:color w:val="auto"/>
              </w:rPr>
              <w:t>31, 2023</w:t>
            </w:r>
          </w:p>
        </w:tc>
        <w:tc>
          <w:tcPr>
            <w:tcW w:w="220" w:type="dxa"/>
            <w:vAlign w:val="bottom"/>
            <w:tcBorders>
              <w:bottom w:val="single" w:sz="8" w:color="2B4C9B"/>
            </w:tcBorders>
            <w:shd w:val="clear" w:color="auto" w:fill="CFF0FC"/>
          </w:tcPr>
          <w:p>
            <w:pPr>
              <w:spacing w:after="0"/>
              <w:rPr>
                <w:sz w:val="16"/>
                <w:szCs w:val="16"/>
                <w:color w:val="auto"/>
              </w:rPr>
            </w:pPr>
          </w:p>
        </w:tc>
        <w:tc>
          <w:tcPr>
            <w:tcW w:w="1080" w:type="dxa"/>
            <w:vAlign w:val="bottom"/>
            <w:tcBorders>
              <w:bottom w:val="single" w:sz="8" w:color="2B4C9B"/>
            </w:tcBorders>
            <w:vMerge w:val="continue"/>
            <w:shd w:val="clear" w:color="auto" w:fill="CFF0FC"/>
          </w:tcPr>
          <w:p>
            <w:pPr>
              <w:spacing w:after="0"/>
              <w:rPr>
                <w:sz w:val="16"/>
                <w:szCs w:val="16"/>
                <w:color w:val="auto"/>
              </w:rPr>
            </w:pPr>
          </w:p>
        </w:tc>
        <w:tc>
          <w:tcPr>
            <w:tcW w:w="240" w:type="dxa"/>
            <w:vAlign w:val="bottom"/>
            <w:tcBorders>
              <w:bottom w:val="single" w:sz="8" w:color="2B4C9B"/>
            </w:tcBorders>
            <w:shd w:val="clear" w:color="auto" w:fill="CFF0FC"/>
          </w:tcPr>
          <w:p>
            <w:pPr>
              <w:spacing w:after="0"/>
              <w:rPr>
                <w:sz w:val="16"/>
                <w:szCs w:val="16"/>
                <w:color w:val="auto"/>
              </w:rPr>
            </w:pPr>
          </w:p>
        </w:tc>
        <w:tc>
          <w:tcPr>
            <w:tcW w:w="960" w:type="dxa"/>
            <w:vAlign w:val="bottom"/>
            <w:tcBorders>
              <w:bottom w:val="single" w:sz="8" w:color="2B4C9B"/>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5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tcBorders>
              <w:bottom w:val="single" w:sz="8" w:color="2B4C9B"/>
            </w:tcBorders>
          </w:tcPr>
          <w:p>
            <w:pPr>
              <w:jc w:val="right"/>
              <w:ind w:right="98"/>
              <w:spacing w:after="0"/>
              <w:rPr>
                <w:sz w:val="20"/>
                <w:szCs w:val="20"/>
                <w:color w:val="auto"/>
              </w:rPr>
            </w:pPr>
            <w:r>
              <w:rPr>
                <w:rFonts w:ascii="Arial" w:cs="Arial" w:eastAsia="Arial" w:hAnsi="Arial"/>
                <w:sz w:val="18"/>
                <w:szCs w:val="18"/>
                <w:b w:val="1"/>
                <w:bCs w:val="1"/>
                <w:color w:val="2B4C9B"/>
              </w:rPr>
              <w:t>1,353</w:t>
            </w:r>
          </w:p>
        </w:tc>
        <w:tc>
          <w:tcPr>
            <w:tcW w:w="1080" w:type="dxa"/>
            <w:vAlign w:val="bottom"/>
            <w:tcBorders>
              <w:bottom w:val="single" w:sz="8" w:color="2B4C9B"/>
            </w:tcBorders>
          </w:tcPr>
          <w:p>
            <w:pPr>
              <w:spacing w:after="0"/>
              <w:rPr>
                <w:sz w:val="23"/>
                <w:szCs w:val="23"/>
                <w:color w:val="auto"/>
              </w:rPr>
            </w:pPr>
          </w:p>
        </w:tc>
        <w:tc>
          <w:tcPr>
            <w:tcW w:w="1380" w:type="dxa"/>
            <w:vAlign w:val="bottom"/>
            <w:tcBorders>
              <w:bottom w:val="single" w:sz="8" w:color="2B4C9B"/>
            </w:tcBorders>
          </w:tcPr>
          <w:p>
            <w:pPr>
              <w:spacing w:after="0"/>
              <w:rPr>
                <w:sz w:val="23"/>
                <w:szCs w:val="23"/>
                <w:color w:val="auto"/>
              </w:rPr>
            </w:pPr>
          </w:p>
        </w:tc>
        <w:tc>
          <w:tcPr>
            <w:tcW w:w="1860" w:type="dxa"/>
            <w:vAlign w:val="bottom"/>
            <w:tcBorders>
              <w:bottom w:val="single" w:sz="8" w:color="2B4C9B"/>
            </w:tcBorders>
          </w:tcPr>
          <w:p>
            <w:pPr>
              <w:spacing w:after="0"/>
              <w:rPr>
                <w:sz w:val="23"/>
                <w:szCs w:val="23"/>
                <w:color w:val="auto"/>
              </w:rPr>
            </w:pPr>
          </w:p>
        </w:tc>
        <w:tc>
          <w:tcPr>
            <w:tcW w:w="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08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b w:val="1"/>
                <w:bCs w:val="1"/>
                <w:color w:val="2B4C9B"/>
              </w:rPr>
              <w:t>(24)</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00" w:right="260" w:hanging="492"/>
        <w:spacing w:after="0" w:line="225"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fair value of the fixed interest rate swaps asset is included in other assets on the consolidated balance sheets. The fair value of the fixed interest rate swaps liability is included in other accrued liabilities on the consolidated balance sheets.</w:t>
      </w:r>
    </w:p>
    <w:p>
      <w:pPr>
        <w:spacing w:after="0" w:line="76" w:lineRule="exact"/>
        <w:rPr>
          <w:rFonts w:ascii="Arial" w:cs="Arial" w:eastAsia="Arial" w:hAnsi="Arial"/>
          <w:sz w:val="22"/>
          <w:szCs w:val="22"/>
          <w:color w:val="auto"/>
          <w:vertAlign w:val="superscript"/>
        </w:rPr>
      </w:pPr>
    </w:p>
    <w:p>
      <w:pPr>
        <w:ind w:left="500" w:right="420" w:hanging="492"/>
        <w:spacing w:after="0" w:line="243"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On October 31, 2018, the Company exited its Term loan interest rate swaps #2 and discontinued hedge accounting. The Company received cash proceeds of $6 million upon the early settlement. The $6 million of deferred gains in accumulated other comprehensive loss will be reclassified into interest expense over the original contractual term of the interest rate swaps, which has a maturity date of May 7, 2020.</w:t>
      </w:r>
    </w:p>
    <w:p>
      <w:pPr>
        <w:spacing w:after="0" w:line="15"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Subject to a 0.75% floor.</w:t>
      </w:r>
    </w:p>
    <w:p>
      <w:pPr>
        <w:spacing w:after="0" w:line="75" w:lineRule="exact"/>
        <w:rPr>
          <w:rFonts w:ascii="Arial" w:cs="Arial" w:eastAsia="Arial" w:hAnsi="Arial"/>
          <w:sz w:val="22"/>
          <w:szCs w:val="22"/>
          <w:color w:val="auto"/>
          <w:vertAlign w:val="superscript"/>
        </w:rPr>
      </w:pPr>
    </w:p>
    <w:p>
      <w:pPr>
        <w:ind w:left="500" w:right="20" w:hanging="492"/>
        <w:spacing w:after="0" w:line="243"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On June 12, 2018, the Company executed forward-starting fixed interest rate swaps that hedge the variability in interest payments on an initial aggregate notional amount of $365 million of floating rate debt. The tenor of these swaps began on September 26, 2018. The Company has designated, and will account for, these fixed interest rate swaps as cash flow hedges.</w:t>
      </w:r>
    </w:p>
    <w:p>
      <w:pPr>
        <w:spacing w:after="0" w:line="73" w:lineRule="exact"/>
        <w:rPr>
          <w:rFonts w:ascii="Arial" w:cs="Arial" w:eastAsia="Arial" w:hAnsi="Arial"/>
          <w:sz w:val="22"/>
          <w:szCs w:val="22"/>
          <w:color w:val="auto"/>
          <w:vertAlign w:val="superscript"/>
        </w:rPr>
      </w:pPr>
    </w:p>
    <w:p>
      <w:pPr>
        <w:jc w:val="both"/>
        <w:ind w:left="500" w:right="280" w:hanging="492"/>
        <w:spacing w:after="0" w:line="225"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On October 31, 2018, the Company executed fixed interest rate swaps that hedge the variability in interest payments on an initial aggregate notional amount of $500 million of floating rate debt. The Company has designated, and will account for, these fixed interest rate swaps as cash flow hedges.</w:t>
      </w:r>
    </w:p>
    <w:p>
      <w:pPr>
        <w:spacing w:after="0" w:line="76" w:lineRule="exact"/>
        <w:rPr>
          <w:rFonts w:ascii="Arial" w:cs="Arial" w:eastAsia="Arial" w:hAnsi="Arial"/>
          <w:sz w:val="22"/>
          <w:szCs w:val="22"/>
          <w:color w:val="auto"/>
          <w:vertAlign w:val="superscript"/>
        </w:rPr>
      </w:pPr>
    </w:p>
    <w:p>
      <w:pPr>
        <w:ind w:left="500" w:right="240" w:hanging="492"/>
        <w:spacing w:after="0" w:line="243"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On January 14, 2019, the Company executed forward-starting fixed interest rate swaps that hedge the variability in interest payments on an initial aggregate notional amount of $500 million of floating rate debt. The tenor of these swaps began on January 31, 2019. The Company has designated, and will account for, these fixed interest rate swaps as cash flow hedges.</w:t>
      </w:r>
    </w:p>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party to fixed interest rate swap instruments that are designated and accounted for as cash flow hedges to manage risks associated with interest rate fluctuations on a portion of the Company’s floating rate debt. The counterparties to all swap agreements are financial institutions. See Note 12 for the unrealized change in fair values on cash flow hedges recognized in other comprehensive income (loss) and the amounts reclassified from accumulated other comprehensive income (loss) into earnings for the current and comparative periods presented. There was no ineffectiveness during the periods presented prior to the adoption of ASU 2017-12. The Company estimates that the total reclassifications of unrealized losses from accumulated other comprehensive loss into earnings in the twelve months following February 1, 2019 will not be material.</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F-39</w:t>
      </w:r>
    </w:p>
    <w:p>
      <w:pPr>
        <w:sectPr>
          <w:pgSz w:w="11900" w:h="16838" w:orient="portrait"/>
          <w:cols w:equalWidth="0" w:num="1">
            <w:col w:w="11400"/>
          </w:cols>
          <w:pgMar w:left="240" w:top="141" w:right="259" w:bottom="1440" w:gutter="0" w:footer="0" w:header="0"/>
        </w:sectPr>
      </w:pPr>
    </w:p>
    <w:bookmarkStart w:id="85" w:name="page86"/>
    <w:bookmarkEnd w:id="8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12—Changes in Accumulated Other Comprehensive Loss by Component:</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presents the changes in accumulated other comprehensive loss attributable to the Company’s fixed interest rate swap cash flow hedges that are discussed in Note 11.</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tcPr>
          <w:p>
            <w:pPr>
              <w:spacing w:after="0"/>
              <w:rPr>
                <w:sz w:val="15"/>
                <w:szCs w:val="15"/>
                <w:color w:val="auto"/>
              </w:rPr>
            </w:pPr>
          </w:p>
        </w:tc>
        <w:tc>
          <w:tcPr>
            <w:tcW w:w="1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96"/>
              <w:spacing w:after="0"/>
              <w:rPr>
                <w:sz w:val="20"/>
                <w:szCs w:val="20"/>
                <w:color w:val="auto"/>
              </w:rPr>
            </w:pPr>
            <w:r>
              <w:rPr>
                <w:rFonts w:ascii="Arial" w:cs="Arial" w:eastAsia="Arial" w:hAnsi="Arial"/>
                <w:sz w:val="14"/>
                <w:szCs w:val="14"/>
                <w:color w:val="auto"/>
              </w:rPr>
              <w:t>Pre-Tax Amount</w:t>
            </w:r>
          </w:p>
        </w:tc>
      </w:tr>
      <w:tr>
        <w:trPr>
          <w:trHeight w:val="193"/>
        </w:trPr>
        <w:tc>
          <w:tcPr>
            <w:tcW w:w="10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Arial" w:cs="Arial" w:eastAsia="Arial" w:hAnsi="Arial"/>
                <w:sz w:val="14"/>
                <w:szCs w:val="14"/>
                <w:color w:val="auto"/>
              </w:rPr>
              <w:t>Unrealized Gains</w:t>
            </w:r>
          </w:p>
        </w:tc>
      </w:tr>
      <w:tr>
        <w:trPr>
          <w:trHeight w:val="162"/>
        </w:trPr>
        <w:tc>
          <w:tcPr>
            <w:tcW w:w="10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Arial" w:cs="Arial" w:eastAsia="Arial" w:hAnsi="Arial"/>
                <w:sz w:val="14"/>
                <w:szCs w:val="14"/>
                <w:color w:val="auto"/>
              </w:rPr>
              <w:t>(Losses) on Fixed</w:t>
            </w:r>
          </w:p>
        </w:tc>
      </w:tr>
      <w:tr>
        <w:trPr>
          <w:trHeight w:val="162"/>
        </w:trPr>
        <w:tc>
          <w:tcPr>
            <w:tcW w:w="100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Interest Rate Swap</w:t>
            </w:r>
          </w:p>
        </w:tc>
      </w:tr>
      <w:tr>
        <w:trPr>
          <w:trHeight w:val="157"/>
        </w:trPr>
        <w:tc>
          <w:tcPr>
            <w:tcW w:w="10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16"/>
              <w:spacing w:after="0" w:line="157" w:lineRule="exact"/>
              <w:rPr>
                <w:sz w:val="20"/>
                <w:szCs w:val="20"/>
                <w:color w:val="auto"/>
              </w:rPr>
            </w:pPr>
            <w:r>
              <w:rPr>
                <w:rFonts w:ascii="Arial" w:cs="Arial" w:eastAsia="Arial" w:hAnsi="Arial"/>
                <w:sz w:val="14"/>
                <w:szCs w:val="14"/>
                <w:color w:val="auto"/>
              </w:rPr>
              <w:t>Cash Flow</w:t>
            </w:r>
          </w:p>
        </w:tc>
      </w:tr>
      <w:tr>
        <w:trPr>
          <w:trHeight w:val="189"/>
        </w:trPr>
        <w:tc>
          <w:tcPr>
            <w:tcW w:w="10040" w:type="dxa"/>
            <w:vAlign w:val="bottom"/>
            <w:tcBorders>
              <w:bottom w:val="single" w:sz="8" w:color="2B4C9B"/>
            </w:tcBorders>
          </w:tcPr>
          <w:p>
            <w:pPr>
              <w:spacing w:after="0"/>
              <w:rPr>
                <w:sz w:val="16"/>
                <w:szCs w:val="16"/>
                <w:color w:val="auto"/>
              </w:rPr>
            </w:pPr>
          </w:p>
        </w:tc>
        <w:tc>
          <w:tcPr>
            <w:tcW w:w="120" w:type="dxa"/>
            <w:vAlign w:val="bottom"/>
            <w:tcBorders>
              <w:bottom w:val="single" w:sz="8" w:color="2B4C9B"/>
            </w:tcBorders>
          </w:tcPr>
          <w:p>
            <w:pPr>
              <w:spacing w:after="0"/>
              <w:rPr>
                <w:sz w:val="16"/>
                <w:szCs w:val="16"/>
                <w:color w:val="auto"/>
              </w:rPr>
            </w:pPr>
          </w:p>
        </w:tc>
        <w:tc>
          <w:tcPr>
            <w:tcW w:w="1260" w:type="dxa"/>
            <w:vAlign w:val="bottom"/>
            <w:tcBorders>
              <w:bottom w:val="single" w:sz="8" w:color="2B4C9B"/>
            </w:tcBorders>
          </w:tcPr>
          <w:p>
            <w:pPr>
              <w:jc w:val="right"/>
              <w:ind w:right="16"/>
              <w:spacing w:after="0" w:line="189" w:lineRule="exact"/>
              <w:rPr>
                <w:sz w:val="20"/>
                <w:szCs w:val="20"/>
                <w:color w:val="auto"/>
              </w:rPr>
            </w:pPr>
            <w:r>
              <w:rPr>
                <w:rFonts w:ascii="Arial" w:cs="Arial" w:eastAsia="Arial" w:hAnsi="Arial"/>
                <w:sz w:val="14"/>
                <w:szCs w:val="14"/>
                <w:color w:val="auto"/>
              </w:rPr>
              <w:t>Hedges</w:t>
            </w:r>
            <w:r>
              <w:rPr>
                <w:rFonts w:ascii="Arial" w:cs="Arial" w:eastAsia="Arial" w:hAnsi="Arial"/>
                <w:sz w:val="17"/>
                <w:szCs w:val="17"/>
                <w:color w:val="auto"/>
                <w:vertAlign w:val="superscript"/>
              </w:rPr>
              <w:t>(1)</w:t>
            </w:r>
          </w:p>
        </w:tc>
      </w:tr>
      <w:tr>
        <w:trPr>
          <w:trHeight w:val="258"/>
        </w:trPr>
        <w:tc>
          <w:tcPr>
            <w:tcW w:w="10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color w:val="auto"/>
              </w:rPr>
              <w:t>(in millions)</w:t>
            </w:r>
          </w:p>
        </w:tc>
      </w:tr>
      <w:tr>
        <w:trPr>
          <w:trHeight w:val="256"/>
        </w:trPr>
        <w:tc>
          <w:tcPr>
            <w:tcW w:w="100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Balance at January 29, 2016</w:t>
            </w:r>
          </w:p>
        </w:tc>
        <w:tc>
          <w:tcPr>
            <w:tcW w:w="1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100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w:t>
            </w:r>
          </w:p>
        </w:tc>
      </w:tr>
      <w:tr>
        <w:trPr>
          <w:trHeight w:val="257"/>
        </w:trPr>
        <w:tc>
          <w:tcPr>
            <w:tcW w:w="100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8</w:t>
            </w:r>
          </w:p>
        </w:tc>
      </w:tr>
      <w:tr>
        <w:trPr>
          <w:trHeight w:val="250"/>
        </w:trPr>
        <w:tc>
          <w:tcPr>
            <w:tcW w:w="100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2B4C9B"/>
            </w:tcBorders>
          </w:tcPr>
          <w:p>
            <w:pPr>
              <w:spacing w:after="0"/>
              <w:rPr>
                <w:sz w:val="21"/>
                <w:szCs w:val="21"/>
                <w:color w:val="auto"/>
              </w:rPr>
            </w:pPr>
          </w:p>
        </w:tc>
        <w:tc>
          <w:tcPr>
            <w:tcW w:w="126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11</w:t>
            </w:r>
          </w:p>
        </w:tc>
      </w:tr>
      <w:tr>
        <w:trPr>
          <w:trHeight w:val="264"/>
        </w:trPr>
        <w:tc>
          <w:tcPr>
            <w:tcW w:w="100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3, 2017</w:t>
            </w:r>
          </w:p>
        </w:tc>
        <w:tc>
          <w:tcPr>
            <w:tcW w:w="1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r>
      <w:tr>
        <w:trPr>
          <w:trHeight w:val="250"/>
        </w:trPr>
        <w:tc>
          <w:tcPr>
            <w:tcW w:w="100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w:t>
            </w:r>
          </w:p>
        </w:tc>
      </w:tr>
      <w:tr>
        <w:trPr>
          <w:trHeight w:val="257"/>
        </w:trPr>
        <w:tc>
          <w:tcPr>
            <w:tcW w:w="100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3</w:t>
            </w:r>
          </w:p>
        </w:tc>
      </w:tr>
      <w:tr>
        <w:trPr>
          <w:trHeight w:val="250"/>
        </w:trPr>
        <w:tc>
          <w:tcPr>
            <w:tcW w:w="100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2B4C9B"/>
            </w:tcBorders>
          </w:tcPr>
          <w:p>
            <w:pPr>
              <w:spacing w:after="0"/>
              <w:rPr>
                <w:sz w:val="21"/>
                <w:szCs w:val="21"/>
                <w:color w:val="auto"/>
              </w:rPr>
            </w:pPr>
          </w:p>
        </w:tc>
        <w:tc>
          <w:tcPr>
            <w:tcW w:w="126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8</w:t>
            </w:r>
          </w:p>
        </w:tc>
      </w:tr>
      <w:tr>
        <w:trPr>
          <w:trHeight w:val="264"/>
        </w:trPr>
        <w:tc>
          <w:tcPr>
            <w:tcW w:w="100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2, 2018</w:t>
            </w:r>
          </w:p>
        </w:tc>
        <w:tc>
          <w:tcPr>
            <w:tcW w:w="1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5</w:t>
            </w:r>
          </w:p>
        </w:tc>
      </w:tr>
      <w:tr>
        <w:trPr>
          <w:trHeight w:val="250"/>
        </w:trPr>
        <w:tc>
          <w:tcPr>
            <w:tcW w:w="100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100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00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other comprehensive loss</w:t>
            </w:r>
          </w:p>
        </w:tc>
        <w:tc>
          <w:tcPr>
            <w:tcW w:w="120" w:type="dxa"/>
            <w:vAlign w:val="bottom"/>
            <w:tcBorders>
              <w:bottom w:val="single" w:sz="8" w:color="2B4C9B"/>
            </w:tcBorders>
          </w:tcPr>
          <w:p>
            <w:pPr>
              <w:spacing w:after="0"/>
              <w:rPr>
                <w:sz w:val="21"/>
                <w:szCs w:val="21"/>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00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b w:val="1"/>
                <w:bCs w:val="1"/>
                <w:color w:val="2B4C9B"/>
              </w:rPr>
              <w:t>Balance at February 1, 2019</w:t>
            </w:r>
          </w:p>
        </w:tc>
        <w:tc>
          <w:tcPr>
            <w:tcW w:w="1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b w:val="1"/>
                <w:bCs w:val="1"/>
                <w:color w:val="2B4C9B"/>
                <w:w w:val="79"/>
              </w:rPr>
              <w:t>$</w:t>
            </w:r>
          </w:p>
        </w:tc>
        <w:tc>
          <w:tcPr>
            <w:tcW w:w="1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(19)</w:t>
            </w:r>
          </w:p>
        </w:tc>
      </w:tr>
    </w:tbl>
    <w:p>
      <w:pPr>
        <w:spacing w:after="0" w:line="110"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(loss) is included in interest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13—Operating Leases: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was $46 million, $48 million, and $65 million in fiscal 2019, 2018, and 2017,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operating lease commitments at February 1, 2019 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694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(in millions)</w:t>
            </w:r>
          </w:p>
        </w:tc>
      </w:tr>
      <w:tr>
        <w:trPr>
          <w:trHeight w:val="256"/>
        </w:trPr>
        <w:tc>
          <w:tcPr>
            <w:tcW w:w="3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69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55</w:t>
            </w:r>
          </w:p>
        </w:tc>
      </w:tr>
      <w:tr>
        <w:trPr>
          <w:trHeight w:val="250"/>
        </w:trPr>
        <w:tc>
          <w:tcPr>
            <w:tcW w:w="3380" w:type="dxa"/>
            <w:vAlign w:val="bottom"/>
          </w:tcPr>
          <w:p>
            <w:pPr>
              <w:ind w:left="40"/>
              <w:spacing w:after="0"/>
              <w:rPr>
                <w:sz w:val="20"/>
                <w:szCs w:val="20"/>
                <w:color w:val="auto"/>
              </w:rPr>
            </w:pPr>
            <w:r>
              <w:rPr>
                <w:rFonts w:ascii="Arial" w:cs="Arial" w:eastAsia="Arial" w:hAnsi="Arial"/>
                <w:sz w:val="18"/>
                <w:szCs w:val="18"/>
                <w:color w:val="auto"/>
              </w:rPr>
              <w:t>2021</w:t>
            </w:r>
          </w:p>
        </w:tc>
        <w:tc>
          <w:tcPr>
            <w:tcW w:w="69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63"/>
        </w:trPr>
        <w:tc>
          <w:tcPr>
            <w:tcW w:w="3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69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36</w:t>
            </w:r>
          </w:p>
        </w:tc>
      </w:tr>
      <w:tr>
        <w:trPr>
          <w:trHeight w:val="250"/>
        </w:trPr>
        <w:tc>
          <w:tcPr>
            <w:tcW w:w="3380" w:type="dxa"/>
            <w:vAlign w:val="bottom"/>
          </w:tcPr>
          <w:p>
            <w:pPr>
              <w:ind w:left="40"/>
              <w:spacing w:after="0"/>
              <w:rPr>
                <w:sz w:val="20"/>
                <w:szCs w:val="20"/>
                <w:color w:val="auto"/>
              </w:rPr>
            </w:pPr>
            <w:r>
              <w:rPr>
                <w:rFonts w:ascii="Arial" w:cs="Arial" w:eastAsia="Arial" w:hAnsi="Arial"/>
                <w:sz w:val="18"/>
                <w:szCs w:val="18"/>
                <w:color w:val="auto"/>
              </w:rPr>
              <w:t>2023</w:t>
            </w:r>
          </w:p>
        </w:tc>
        <w:tc>
          <w:tcPr>
            <w:tcW w:w="69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63"/>
        </w:trPr>
        <w:tc>
          <w:tcPr>
            <w:tcW w:w="3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69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w:t>
            </w:r>
          </w:p>
        </w:tc>
      </w:tr>
      <w:tr>
        <w:trPr>
          <w:trHeight w:val="250"/>
        </w:trPr>
        <w:tc>
          <w:tcPr>
            <w:tcW w:w="33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694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43</w:t>
            </w:r>
          </w:p>
        </w:tc>
      </w:tr>
      <w:tr>
        <w:trPr>
          <w:trHeight w:val="264"/>
        </w:trPr>
        <w:tc>
          <w:tcPr>
            <w:tcW w:w="33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694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211</w:t>
            </w:r>
          </w:p>
        </w:tc>
      </w:tr>
      <w:tr>
        <w:trPr>
          <w:trHeight w:val="459"/>
        </w:trPr>
        <w:tc>
          <w:tcPr>
            <w:tcW w:w="3380" w:type="dxa"/>
            <w:vAlign w:val="bottom"/>
          </w:tcPr>
          <w:p>
            <w:pPr>
              <w:spacing w:after="0"/>
              <w:rPr>
                <w:sz w:val="24"/>
                <w:szCs w:val="24"/>
                <w:color w:val="auto"/>
              </w:rPr>
            </w:pPr>
          </w:p>
        </w:tc>
        <w:tc>
          <w:tcPr>
            <w:tcW w:w="6940" w:type="dxa"/>
            <w:vAlign w:val="bottom"/>
          </w:tcPr>
          <w:p>
            <w:pPr>
              <w:jc w:val="right"/>
              <w:ind w:right="4330"/>
              <w:spacing w:after="0"/>
              <w:rPr>
                <w:sz w:val="20"/>
                <w:szCs w:val="20"/>
                <w:color w:val="auto"/>
              </w:rPr>
            </w:pPr>
            <w:r>
              <w:rPr>
                <w:rFonts w:ascii="Arial" w:cs="Arial" w:eastAsia="Arial" w:hAnsi="Arial"/>
                <w:sz w:val="18"/>
                <w:szCs w:val="18"/>
                <w:color w:val="2B4C9B"/>
              </w:rPr>
              <w:t>F-40</w:t>
            </w: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86" w:name="page87"/>
    <w:bookmarkEnd w:id="8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14—Business Segment Information:</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a solutions and technology group. The three operating segments are responsible for customer relationships, business development and program management, and delivery and execution, while the solutions and technology group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because they have similar economic characteristics and meet the other aggregation criteria within the accounting standard on segment reporting, including similarities in the nature of the services provided, methods of service delivery, customers served and the regulatory environment in which they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were generated by, and tangible long-lived assets owned by, entities located 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such, financial information by geographic location is not presented.</w:t>
      </w:r>
    </w:p>
    <w:p>
      <w:pPr>
        <w:spacing w:after="0" w:line="18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 each of fiscal 2019, 2018, and 2017 over 95% of our total revenues were attributable to prime contracts with the U.S. government or to subcontracts with other contractors engaged in work for the U.S. government.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15—Legal Proceedings and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AAV Termination for Convenience</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August 27, 2018, the Company received a stop-work order from the United States Marine Corps on the Assault Amphibious Vehicle (AAV) contract and on October 3, 2018 the program was terminated for convenience by the customer.</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Beginning in fiscal 2018, the Company entered into contracts with various vendors for long-lead time materials that would be necessary to complete the low-rate initial production (LRIP) phase of the program, including portions of the LRIP phase which had not yet been awarded. As a result of the program termination, the Company recognized an inventory provision for long-lead items, see Note 1. The Company is continuing to negotiate with the Marine Corps to recover all costs associated with the termination.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Scitor Acquisition</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May 4, 2015, the Company completed the acquisition of Scitor, a leading global provider of technical services to the U.S. intelligence community and other U.S. government customers. Purchase consideration paid to acquire Scitor was $764 million (net of cash acquired), including $43 million which was deposited to escrow accounts. In August 2015, $ 3 million was released from escrow to the sellers after finalizing the working capital adjustment and another $13 million was released in September 2016 that was held to secure a portion of the sellers’ indemnification obligations. During the first quarter of fiscal 2019, the Company received a $6 million distribution from escrow to settle a claim, which was recognized as a reduction to selling, general, and administrative costs. There is no remaining amount in escrow.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Agreements with Former Parent</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Former Parent and the Company executed various agreements to provide mechanisms for an orderly transition and to govern certain ongoing relationships between the companies following the separation. The agreements include a Distribution Agreement, Employee Matters Agreement, Tax Matters Agreement, Master Transition Services Agreement, and Master Transitional Contracting Agreement (MTCA). These agreements generally provide that each party is responsible for its respective assets, liabilities and obligations, including employee benefits, insurance and tax-related assets and liabilities. The MTCA also governs the relationship between former Parent and the Company with regard to the treatment of contracts, proposals, and teaming arrangements where both companies are or will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F-41</w:t>
      </w:r>
    </w:p>
    <w:p>
      <w:pPr>
        <w:sectPr>
          <w:pgSz w:w="11900" w:h="16838" w:orient="portrait"/>
          <w:cols w:equalWidth="0" w:num="1">
            <w:col w:w="11420"/>
          </w:cols>
          <w:pgMar w:left="240" w:top="141" w:right="239" w:bottom="1440" w:gutter="0" w:footer="0" w:header="0"/>
        </w:sectPr>
      </w:pPr>
    </w:p>
    <w:bookmarkStart w:id="87" w:name="page88"/>
    <w:bookmarkEnd w:id="8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be jointly performing work after separation. Each of former Parent and the Company indemnify the other party for work performed by it under the MTCA.</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Contingent losses that were unknown at the time of separation and arise from the operation of the Company’s historical business or the former Parent’s historical corporate losses will be shared between the parties to the extent that losses in any such category exceed $ 50 million in the aggregate. If they arise and exceed the $50 million threshold, the Company will be responsible for 30% of the former Parent’s incremental contingent losses on corporate claims (and former Parent will be responsible for 70% of the Company’s incremental losses on claims relating to operations that exceed $50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Government Investigations, Audits and Reviews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Defense Contract Audit Agency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indirect cost audits by the DCAA of the Company’s business remain open for fiscal 2010 and subsequent years. Although the Company has recorded contract revenues subsequent to and including fiscal 2010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spacing w:after="0" w:line="16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recorded reserves for estimated net amounts to be refunded to customers for potential adjustments for indirect cost audits and compliance with Cost Accounting Standards, which include indemnification obligations owing to former Parent for periods prior to the Distribution Date. As of February 1, 2019, the Company has recorded a total liability of $63 million for estimated net amounts to be refunded to customers for potential adjustments from audits of contract costs, which is presented in other accrued liabilities on the consolidated balance sheets. Any additional amounts which may be determined to be owed for periods prior to the separation will be allocated to former Parent and the Company in proportions determined in accordance with the Distribution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Letters of Credit and Surety Bonds</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outstanding obligations relating to letters of credit of $16 million as of February 1, 2019, principally related to guarantees on insurance policies. The Company also has outstanding obligations relating to surety bonds in the amount of $18 million, principally related to performance and payment bonds on the Company’s contracts. The majority of the surety bonds outstanding were initially obtained by former Parent and the Company is required to satisfy these obligations under the terms of the Distribution Agreement.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F-42</w:t>
      </w:r>
    </w:p>
    <w:p>
      <w:pPr>
        <w:sectPr>
          <w:pgSz w:w="11900" w:h="16838" w:orient="portrait"/>
          <w:cols w:equalWidth="0" w:num="1">
            <w:col w:w="11420"/>
          </w:cols>
          <w:pgMar w:left="240" w:top="141" w:right="239" w:bottom="1440" w:gutter="0" w:footer="0" w:header="0"/>
        </w:sectPr>
      </w:pPr>
    </w:p>
    <w:bookmarkStart w:id="88" w:name="page89"/>
    <w:bookmarkEnd w:id="8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16—Selected Quarterly Financial Data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financial data for each quarter of the most recent two fiscal years was: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jc w:val="right"/>
              <w:ind w:right="468"/>
              <w:spacing w:after="0"/>
              <w:rPr>
                <w:sz w:val="20"/>
                <w:szCs w:val="20"/>
                <w:color w:val="auto"/>
              </w:rPr>
            </w:pPr>
            <w:r>
              <w:rPr>
                <w:rFonts w:ascii="Arial" w:cs="Arial" w:eastAsia="Arial" w:hAnsi="Arial"/>
                <w:sz w:val="14"/>
                <w:szCs w:val="14"/>
                <w:color w:val="auto"/>
              </w:rPr>
              <w:t>First</w:t>
            </w:r>
          </w:p>
        </w:tc>
        <w:tc>
          <w:tcPr>
            <w:tcW w:w="1600" w:type="dxa"/>
            <w:vAlign w:val="bottom"/>
          </w:tcPr>
          <w:p>
            <w:pPr>
              <w:ind w:left="560"/>
              <w:spacing w:after="0"/>
              <w:rPr>
                <w:sz w:val="20"/>
                <w:szCs w:val="20"/>
                <w:color w:val="auto"/>
              </w:rPr>
            </w:pPr>
            <w:r>
              <w:rPr>
                <w:rFonts w:ascii="Arial" w:cs="Arial" w:eastAsia="Arial" w:hAnsi="Arial"/>
                <w:sz w:val="14"/>
                <w:szCs w:val="14"/>
                <w:color w:val="auto"/>
              </w:rPr>
              <w:t>Second</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Third</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Fourth</w:t>
            </w:r>
          </w:p>
        </w:tc>
      </w:tr>
      <w:tr>
        <w:trPr>
          <w:trHeight w:val="178"/>
        </w:trPr>
        <w:tc>
          <w:tcPr>
            <w:tcW w:w="7080" w:type="dxa"/>
            <w:vAlign w:val="bottom"/>
            <w:tcBorders>
              <w:bottom w:val="single" w:sz="8" w:color="2B4C9B"/>
            </w:tcBorders>
          </w:tcPr>
          <w:p>
            <w:pPr>
              <w:jc w:val="right"/>
              <w:ind w:right="468"/>
              <w:spacing w:after="0"/>
              <w:rPr>
                <w:sz w:val="20"/>
                <w:szCs w:val="20"/>
                <w:color w:val="auto"/>
              </w:rPr>
            </w:pPr>
            <w:r>
              <w:rPr>
                <w:rFonts w:ascii="Arial" w:cs="Arial" w:eastAsia="Arial" w:hAnsi="Arial"/>
                <w:sz w:val="14"/>
                <w:szCs w:val="14"/>
                <w:color w:val="auto"/>
              </w:rPr>
              <w:t>Quarter</w:t>
            </w:r>
          </w:p>
        </w:tc>
        <w:tc>
          <w:tcPr>
            <w:tcW w:w="1600" w:type="dxa"/>
            <w:vAlign w:val="bottom"/>
            <w:tcBorders>
              <w:bottom w:val="single" w:sz="8" w:color="2B4C9B"/>
            </w:tcBorders>
          </w:tcPr>
          <w:p>
            <w:pPr>
              <w:ind w:left="560"/>
              <w:spacing w:after="0"/>
              <w:rPr>
                <w:sz w:val="20"/>
                <w:szCs w:val="20"/>
                <w:color w:val="auto"/>
              </w:rPr>
            </w:pPr>
            <w:r>
              <w:rPr>
                <w:rFonts w:ascii="Arial" w:cs="Arial" w:eastAsia="Arial" w:hAnsi="Arial"/>
                <w:sz w:val="14"/>
                <w:szCs w:val="14"/>
                <w:color w:val="auto"/>
              </w:rPr>
              <w:t>Quarter</w:t>
            </w:r>
          </w:p>
        </w:tc>
        <w:tc>
          <w:tcPr>
            <w:tcW w:w="1600" w:type="dxa"/>
            <w:vAlign w:val="bottom"/>
            <w:tcBorders>
              <w:bottom w:val="single" w:sz="8" w:color="2B4C9B"/>
            </w:tcBorders>
          </w:tcPr>
          <w:p>
            <w:pPr>
              <w:jc w:val="right"/>
              <w:ind w:right="488"/>
              <w:spacing w:after="0"/>
              <w:rPr>
                <w:sz w:val="20"/>
                <w:szCs w:val="20"/>
                <w:color w:val="auto"/>
              </w:rPr>
            </w:pPr>
            <w:r>
              <w:rPr>
                <w:rFonts w:ascii="Arial" w:cs="Arial" w:eastAsia="Arial" w:hAnsi="Arial"/>
                <w:sz w:val="14"/>
                <w:szCs w:val="14"/>
                <w:color w:val="auto"/>
              </w:rPr>
              <w:t>Quarter</w:t>
            </w:r>
          </w:p>
        </w:tc>
        <w:tc>
          <w:tcPr>
            <w:tcW w:w="114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Quarter</w:t>
            </w:r>
          </w:p>
        </w:tc>
      </w:tr>
    </w:tbl>
    <w:p>
      <w:pPr>
        <w:spacing w:after="0" w:line="86" w:lineRule="exact"/>
        <w:rPr>
          <w:sz w:val="20"/>
          <w:szCs w:val="20"/>
          <w:color w:val="auto"/>
        </w:rPr>
      </w:pPr>
    </w:p>
    <w:p>
      <w:pPr>
        <w:ind w:left="7060"/>
        <w:spacing w:after="0"/>
        <w:rPr>
          <w:sz w:val="20"/>
          <w:szCs w:val="20"/>
          <w:color w:val="auto"/>
        </w:rPr>
      </w:pPr>
      <w:r>
        <w:rPr>
          <w:rFonts w:ascii="Arial" w:cs="Arial" w:eastAsia="Arial" w:hAnsi="Arial"/>
          <w:sz w:val="14"/>
          <w:szCs w:val="14"/>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2019</w:t>
            </w: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Revenues</w:t>
            </w:r>
          </w:p>
        </w:tc>
        <w:tc>
          <w:tcPr>
            <w:tcW w:w="20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1,175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1,115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1,177</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1,192</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0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2B4C9B"/>
              </w:rPr>
              <w:t>66</w:t>
            </w:r>
          </w:p>
        </w:tc>
        <w:tc>
          <w:tcPr>
            <w:tcW w:w="6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74</w:t>
            </w:r>
          </w:p>
        </w:tc>
        <w:tc>
          <w:tcPr>
            <w:tcW w:w="6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73</w:t>
            </w:r>
          </w:p>
        </w:tc>
        <w:tc>
          <w:tcPr>
            <w:tcW w:w="6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2B4C9B"/>
              </w:rPr>
              <w:t>7</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 (loss)</w:t>
            </w:r>
          </w:p>
        </w:tc>
        <w:tc>
          <w:tcPr>
            <w:tcW w:w="20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49</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49</w:t>
            </w:r>
          </w:p>
        </w:tc>
        <w:tc>
          <w:tcPr>
            <w:tcW w:w="6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48</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(9)</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2B4C9B"/>
              </w:rPr>
              <w:t>1.16</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1.15</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1.13</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2B4C9B"/>
              </w:rPr>
              <w:t>(0.20)</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 EPS</w:t>
            </w:r>
          </w:p>
        </w:tc>
        <w:tc>
          <w:tcPr>
            <w:tcW w:w="20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1.11</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(0.20)</w:t>
            </w:r>
          </w:p>
        </w:tc>
      </w:tr>
      <w:tr>
        <w:trPr>
          <w:trHeight w:val="257"/>
        </w:trPr>
        <w:tc>
          <w:tcPr>
            <w:tcW w:w="3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2018</w:t>
            </w:r>
          </w:p>
        </w:tc>
        <w:tc>
          <w:tcPr>
            <w:tcW w:w="2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33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1,128</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income</w:t>
            </w:r>
          </w:p>
        </w:tc>
        <w:tc>
          <w:tcPr>
            <w:tcW w:w="20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EPS</w:t>
            </w:r>
          </w:p>
        </w:tc>
        <w:tc>
          <w:tcPr>
            <w:tcW w:w="2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0.99</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w:t>
            </w:r>
          </w:p>
        </w:tc>
      </w:tr>
      <w:tr>
        <w:trPr>
          <w:trHeight w:val="257"/>
        </w:trPr>
        <w:tc>
          <w:tcPr>
            <w:tcW w:w="338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0.80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851"/>
        </w:trPr>
        <w:tc>
          <w:tcPr>
            <w:tcW w:w="3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color w:val="2B4C9B"/>
              </w:rPr>
              <w:t>F-43</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gridSpan w:val="31"/>
          </w:tcPr>
          <w:p>
            <w:pPr>
              <w:jc w:val="center"/>
              <w:ind w:right="226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580" w:type="dxa"/>
            <w:vAlign w:val="bottom"/>
            <w:tcBorders>
              <w:bottom w:val="single" w:sz="8" w:color="auto"/>
            </w:tcBorders>
            <w:gridSpan w:val="27"/>
          </w:tcPr>
          <w:p>
            <w:pPr>
              <w:jc w:val="center"/>
              <w:ind w:right="480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2B4C9B"/>
              </w:rPr>
              <w:t>Exhibit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1520" w:type="dxa"/>
            <w:vAlign w:val="bottom"/>
            <w:tcBorders>
              <w:bottom w:val="single" w:sz="8" w:color="2B4C9B"/>
            </w:tcBorders>
            <w:gridSpan w:val="5"/>
          </w:tcPr>
          <w:p>
            <w:pPr>
              <w:ind w:left="40"/>
              <w:spacing w:after="0"/>
              <w:rPr>
                <w:sz w:val="20"/>
                <w:szCs w:val="20"/>
                <w:color w:val="auto"/>
              </w:rPr>
            </w:pPr>
            <w:r>
              <w:rPr>
                <w:rFonts w:ascii="Arial" w:cs="Arial" w:eastAsia="Arial" w:hAnsi="Arial"/>
                <w:sz w:val="18"/>
                <w:szCs w:val="18"/>
                <w:b w:val="1"/>
                <w:bCs w:val="1"/>
                <w:color w:val="2B4C9B"/>
              </w:rPr>
              <w:t>Number</w:t>
            </w:r>
          </w:p>
        </w:tc>
        <w:tc>
          <w:tcPr>
            <w:tcW w:w="660" w:type="dxa"/>
            <w:vAlign w:val="bottom"/>
            <w:tcBorders>
              <w:bottom w:val="single" w:sz="8" w:color="2B4C9B"/>
            </w:tcBorders>
          </w:tcPr>
          <w:p>
            <w:pPr>
              <w:spacing w:after="0"/>
              <w:rPr>
                <w:sz w:val="21"/>
                <w:szCs w:val="21"/>
                <w:color w:val="auto"/>
              </w:rPr>
            </w:pPr>
          </w:p>
        </w:tc>
        <w:tc>
          <w:tcPr>
            <w:tcW w:w="100" w:type="dxa"/>
            <w:vAlign w:val="bottom"/>
            <w:tcBorders>
              <w:bottom w:val="single" w:sz="8" w:color="2B4C9B"/>
            </w:tcBorders>
          </w:tcPr>
          <w:p>
            <w:pPr>
              <w:spacing w:after="0"/>
              <w:rPr>
                <w:sz w:val="21"/>
                <w:szCs w:val="21"/>
                <w:color w:val="auto"/>
              </w:rPr>
            </w:pPr>
          </w:p>
        </w:tc>
        <w:tc>
          <w:tcPr>
            <w:tcW w:w="920" w:type="dxa"/>
            <w:vAlign w:val="bottom"/>
            <w:tcBorders>
              <w:bottom w:val="single" w:sz="8" w:color="2B4C9B"/>
            </w:tcBorders>
          </w:tcPr>
          <w:p>
            <w:pPr>
              <w:spacing w:after="0"/>
              <w:rPr>
                <w:sz w:val="21"/>
                <w:szCs w:val="21"/>
                <w:color w:val="auto"/>
              </w:rPr>
            </w:pPr>
          </w:p>
        </w:tc>
        <w:tc>
          <w:tcPr>
            <w:tcW w:w="4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spacing w:after="0"/>
              <w:rPr>
                <w:sz w:val="21"/>
                <w:szCs w:val="21"/>
                <w:color w:val="auto"/>
              </w:rPr>
            </w:pPr>
          </w:p>
        </w:tc>
        <w:tc>
          <w:tcPr>
            <w:tcW w:w="480" w:type="dxa"/>
            <w:vAlign w:val="bottom"/>
            <w:tcBorders>
              <w:bottom w:val="single" w:sz="8" w:color="2B4C9B"/>
            </w:tcBorders>
          </w:tcPr>
          <w:p>
            <w:pPr>
              <w:spacing w:after="0"/>
              <w:rPr>
                <w:sz w:val="21"/>
                <w:szCs w:val="21"/>
                <w:color w:val="auto"/>
              </w:rPr>
            </w:pPr>
          </w:p>
        </w:tc>
        <w:tc>
          <w:tcPr>
            <w:tcW w:w="6580" w:type="dxa"/>
            <w:vAlign w:val="bottom"/>
            <w:tcBorders>
              <w:bottom w:val="single" w:sz="8" w:color="2B4C9B"/>
            </w:tcBorders>
            <w:gridSpan w:val="27"/>
          </w:tcPr>
          <w:p>
            <w:pPr>
              <w:ind w:left="700"/>
              <w:spacing w:after="0"/>
              <w:rPr>
                <w:sz w:val="20"/>
                <w:szCs w:val="20"/>
                <w:color w:val="auto"/>
              </w:rPr>
            </w:pPr>
            <w:r>
              <w:rPr>
                <w:rFonts w:ascii="Arial" w:cs="Arial" w:eastAsia="Arial" w:hAnsi="Arial"/>
                <w:sz w:val="18"/>
                <w:szCs w:val="18"/>
                <w:b w:val="1"/>
                <w:bCs w:val="1"/>
                <w:color w:val="2B4C9B"/>
              </w:rPr>
              <w:t>Description of Exhibit</w:t>
            </w:r>
          </w:p>
        </w:tc>
      </w:tr>
      <w:tr>
        <w:trPr>
          <w:trHeight w:val="527"/>
        </w:trPr>
        <w:tc>
          <w:tcPr>
            <w:tcW w:w="380" w:type="dxa"/>
            <w:vAlign w:val="bottom"/>
            <w:gridSpan w:val="3"/>
          </w:tcPr>
          <w:p>
            <w:pPr>
              <w:ind w:left="40"/>
              <w:spacing w:after="0"/>
              <w:rPr>
                <w:rFonts w:ascii="Arial" w:cs="Arial" w:eastAsia="Arial" w:hAnsi="Arial"/>
                <w:sz w:val="18"/>
                <w:szCs w:val="18"/>
                <w:color w:val="2B4C9B"/>
              </w:rPr>
            </w:pPr>
            <w:hyperlink r:id="rId113">
              <w:r>
                <w:rPr>
                  <w:rFonts w:ascii="Arial" w:cs="Arial" w:eastAsia="Arial" w:hAnsi="Arial"/>
                  <w:sz w:val="18"/>
                  <w:szCs w:val="18"/>
                  <w:color w:val="2B4C9B"/>
                </w:rPr>
                <w:t>2.</w:t>
              </w:r>
              <w:r>
                <w:rPr>
                  <w:rFonts w:ascii="Arial" w:cs="Arial" w:eastAsia="Arial" w:hAnsi="Arial"/>
                  <w:sz w:val="18"/>
                  <w:szCs w:val="18"/>
                  <w:u w:val="single" w:color="auto"/>
                  <w:color w:val="2B4C9B"/>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3">
              <w:r>
                <w:rPr>
                  <w:rFonts w:ascii="Arial" w:cs="Arial" w:eastAsia="Arial" w:hAnsi="Arial"/>
                  <w:sz w:val="18"/>
                  <w:szCs w:val="18"/>
                  <w:color w:val="2B4C9B"/>
                </w:rPr>
                <w:t>Distribution Agreement dated September 25, 2013, between the Company (formerly SAIC Gemini, Inc.) and Leidos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480" w:type="dxa"/>
            <w:vAlign w:val="bottom"/>
            <w:shd w:val="clear" w:color="auto" w:fill="2B4C9B"/>
          </w:tcPr>
          <w:p>
            <w:pPr>
              <w:spacing w:after="0" w:line="20" w:lineRule="exact"/>
              <w:rPr>
                <w:sz w:val="1"/>
                <w:szCs w:val="1"/>
                <w:color w:val="auto"/>
              </w:rPr>
            </w:pPr>
          </w:p>
        </w:tc>
        <w:tc>
          <w:tcPr>
            <w:tcW w:w="16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00" w:type="dxa"/>
            <w:vAlign w:val="bottom"/>
            <w:shd w:val="clear" w:color="auto" w:fill="2B4C9B"/>
          </w:tcPr>
          <w:p>
            <w:pPr>
              <w:spacing w:after="0" w:line="20" w:lineRule="exact"/>
              <w:rPr>
                <w:sz w:val="1"/>
                <w:szCs w:val="1"/>
                <w:color w:val="auto"/>
              </w:rPr>
            </w:pPr>
          </w:p>
        </w:tc>
        <w:tc>
          <w:tcPr>
            <w:tcW w:w="800" w:type="dxa"/>
            <w:vAlign w:val="bottom"/>
            <w:shd w:val="clear" w:color="auto" w:fill="2B4C9B"/>
          </w:tcPr>
          <w:p>
            <w:pPr>
              <w:spacing w:after="0" w:line="20" w:lineRule="exact"/>
              <w:rPr>
                <w:sz w:val="1"/>
                <w:szCs w:val="1"/>
                <w:color w:val="auto"/>
              </w:rPr>
            </w:pPr>
          </w:p>
        </w:tc>
        <w:tc>
          <w:tcPr>
            <w:tcW w:w="2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13">
              <w:r>
                <w:rPr>
                  <w:rFonts w:ascii="Arial" w:cs="Arial" w:eastAsia="Arial" w:hAnsi="Arial"/>
                  <w:sz w:val="18"/>
                  <w:szCs w:val="18"/>
                  <w:color w:val="2B4C9B"/>
                </w:rPr>
                <w:t>Holdings, Inc. (formerly SAIC, Inc.). Incorporated by reference to Exhibit 2.1 to the Company’s Current Report on Form 8-K</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760" w:type="dxa"/>
            <w:vAlign w:val="bottom"/>
            <w:tcBorders>
              <w:top w:val="single" w:sz="8" w:color="2B4C9B"/>
            </w:tcBorders>
            <w:gridSpan w:val="29"/>
          </w:tcPr>
          <w:p>
            <w:pPr>
              <w:spacing w:after="0" w:line="182" w:lineRule="exact"/>
              <w:rPr>
                <w:rFonts w:ascii="Arial" w:cs="Arial" w:eastAsia="Arial" w:hAnsi="Arial"/>
                <w:sz w:val="18"/>
                <w:szCs w:val="18"/>
                <w:color w:val="2B4C9B"/>
              </w:rPr>
            </w:pPr>
            <w:hyperlink r:id="rId113">
              <w:r>
                <w:rPr>
                  <w:rFonts w:ascii="Arial" w:cs="Arial" w:eastAsia="Arial" w:hAnsi="Arial"/>
                  <w:sz w:val="18"/>
                  <w:szCs w:val="18"/>
                  <w:color w:val="2B4C9B"/>
                </w:rPr>
                <w:t>as filed with the SEC on October 1, 2013.</w:t>
              </w:r>
            </w:hyperlink>
          </w:p>
        </w:tc>
        <w:tc>
          <w:tcPr>
            <w:tcW w:w="120" w:type="dxa"/>
            <w:vAlign w:val="bottom"/>
            <w:gridSpan w:val="4"/>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480" w:type="dxa"/>
            <w:vAlign w:val="bottom"/>
            <w:shd w:val="clear" w:color="auto" w:fill="2B4C9B"/>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14">
              <w:r>
                <w:rPr>
                  <w:rFonts w:ascii="Arial" w:cs="Arial" w:eastAsia="Arial" w:hAnsi="Arial"/>
                  <w:sz w:val="18"/>
                  <w:szCs w:val="18"/>
                  <w:color w:val="2B4C9B"/>
                </w:rPr>
                <w:t>2.</w:t>
              </w:r>
              <w:r>
                <w:rPr>
                  <w:rFonts w:ascii="Arial" w:cs="Arial" w:eastAsia="Arial" w:hAnsi="Arial"/>
                  <w:sz w:val="18"/>
                  <w:szCs w:val="18"/>
                  <w:u w:val="single" w:color="auto"/>
                  <w:color w:val="2B4C9B"/>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4">
              <w:r>
                <w:rPr>
                  <w:rFonts w:ascii="Arial" w:cs="Arial" w:eastAsia="Arial" w:hAnsi="Arial"/>
                  <w:sz w:val="18"/>
                  <w:szCs w:val="18"/>
                  <w:color w:val="2B4C9B"/>
                </w:rPr>
                <w:t>Agreement and Plan of Merger, dated September 9, 2018, by and among Science Applications International Corporation,</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360" w:type="dxa"/>
            <w:vAlign w:val="bottom"/>
            <w:tcBorders>
              <w:top w:val="single" w:sz="8" w:color="2B4C9B"/>
              <w:bottom w:val="single" w:sz="8" w:color="2B4C9B"/>
            </w:tcBorders>
            <w:gridSpan w:val="16"/>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Inc., a Delaware corporation, Engility, a Delaware corporation, and Raptors Merger Sub, Inc., a Delaware corporation.</w:t>
              </w:r>
            </w:hyperlink>
          </w:p>
        </w:tc>
        <w:tc>
          <w:tcPr>
            <w:tcW w:w="260" w:type="dxa"/>
            <w:vAlign w:val="bottom"/>
            <w:tcBorders>
              <w:top w:val="single" w:sz="8" w:color="2B4C9B"/>
            </w:tcBorders>
            <w:gridSpan w:val="8"/>
          </w:tcPr>
          <w:p>
            <w:pPr>
              <w:spacing w:after="0"/>
              <w:rPr>
                <w:sz w:val="15"/>
                <w:szCs w:val="15"/>
                <w:color w:val="auto"/>
              </w:rPr>
            </w:pPr>
          </w:p>
        </w:tc>
        <w:tc>
          <w:tcPr>
            <w:tcW w:w="26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720" w:type="dxa"/>
            <w:vAlign w:val="bottom"/>
            <w:tcBorders>
              <w:bottom w:val="single" w:sz="8" w:color="2B4C9B"/>
            </w:tcBorders>
            <w:gridSpan w:val="27"/>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(Pursuant to Item 601(b)(2) of Regulation S-K, the registrant hereby agrees to supplementally furnish to the Securities and</w:t>
              </w:r>
            </w:hyperlink>
          </w:p>
        </w:tc>
        <w:tc>
          <w:tcPr>
            <w:tcW w:w="16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14">
              <w:r>
                <w:rPr>
                  <w:rFonts w:ascii="Arial" w:cs="Arial" w:eastAsia="Arial" w:hAnsi="Arial"/>
                  <w:sz w:val="18"/>
                  <w:szCs w:val="18"/>
                  <w:color w:val="2B4C9B"/>
                </w:rPr>
                <w:t>Exchange Commission upon request any omitted schedule or exhibit to the Agreement and Plan of Merger.) Incorporated</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40" w:type="dxa"/>
            <w:vAlign w:val="bottom"/>
            <w:tcBorders>
              <w:top w:val="single" w:sz="8" w:color="2B4C9B"/>
              <w:bottom w:val="single" w:sz="8" w:color="2B4C9B"/>
            </w:tcBorders>
            <w:gridSpan w:val="21"/>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by reference to Exhibit 2.1 to the Company’s Current Report on Form 8-K as filed with the SEC on September 10, 2018.</w:t>
              </w:r>
            </w:hyperlink>
          </w:p>
        </w:tc>
        <w:tc>
          <w:tcPr>
            <w:tcW w:w="100" w:type="dxa"/>
            <w:vAlign w:val="bottom"/>
            <w:tcBorders>
              <w:top w:val="single" w:sz="8" w:color="2B4C9B"/>
            </w:tcBorders>
            <w:gridSpan w:val="4"/>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399"/>
        </w:trPr>
        <w:tc>
          <w:tcPr>
            <w:tcW w:w="380" w:type="dxa"/>
            <w:vAlign w:val="bottom"/>
            <w:gridSpan w:val="3"/>
          </w:tcPr>
          <w:p>
            <w:pPr>
              <w:ind w:left="40"/>
              <w:spacing w:after="0"/>
              <w:rPr>
                <w:rFonts w:ascii="Arial" w:cs="Arial" w:eastAsia="Arial" w:hAnsi="Arial"/>
                <w:sz w:val="18"/>
                <w:szCs w:val="18"/>
                <w:color w:val="2B4C9B"/>
              </w:rPr>
            </w:pPr>
            <w:hyperlink r:id="rId115">
              <w:r>
                <w:rPr>
                  <w:rFonts w:ascii="Arial" w:cs="Arial" w:eastAsia="Arial" w:hAnsi="Arial"/>
                  <w:sz w:val="18"/>
                  <w:szCs w:val="18"/>
                  <w:color w:val="2B4C9B"/>
                </w:rPr>
                <w:t>2.</w:t>
              </w:r>
              <w:r>
                <w:rPr>
                  <w:rFonts w:ascii="Arial" w:cs="Arial" w:eastAsia="Arial" w:hAnsi="Arial"/>
                  <w:sz w:val="18"/>
                  <w:szCs w:val="18"/>
                  <w:u w:val="single" w:color="auto"/>
                  <w:color w:val="2B4C9B"/>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5">
              <w:r>
                <w:rPr>
                  <w:rFonts w:ascii="Arial" w:cs="Arial" w:eastAsia="Arial" w:hAnsi="Arial"/>
                  <w:sz w:val="18"/>
                  <w:szCs w:val="18"/>
                  <w:color w:val="2B4C9B"/>
                </w:rPr>
                <w:t>Voting Agreement dated as of, September 9, 2018, by and among Science Applications International Corporation, Inc., and</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40" w:type="dxa"/>
            <w:vAlign w:val="bottom"/>
            <w:tcBorders>
              <w:top w:val="single" w:sz="8" w:color="2B4C9B"/>
              <w:bottom w:val="single" w:sz="8" w:color="2B4C9B"/>
            </w:tcBorders>
            <w:gridSpan w:val="21"/>
          </w:tcPr>
          <w:p>
            <w:pPr>
              <w:spacing w:after="0" w:line="182" w:lineRule="exact"/>
              <w:rPr>
                <w:rFonts w:ascii="Arial" w:cs="Arial" w:eastAsia="Arial" w:hAnsi="Arial"/>
                <w:sz w:val="18"/>
                <w:szCs w:val="18"/>
                <w:color w:val="2B4C9B"/>
                <w:w w:val="99"/>
              </w:rPr>
            </w:pPr>
            <w:hyperlink r:id="rId115">
              <w:r>
                <w:rPr>
                  <w:rFonts w:ascii="Arial" w:cs="Arial" w:eastAsia="Arial" w:hAnsi="Arial"/>
                  <w:sz w:val="18"/>
                  <w:szCs w:val="18"/>
                  <w:color w:val="2B4C9B"/>
                  <w:w w:val="99"/>
                </w:rPr>
                <w:t>Engility Holdings, Inc., and with General Atlantic Partners 85, L.P., GAP Coinvestments III, LLC, GAP Coinvestments IV,</w:t>
              </w:r>
            </w:hyperlink>
          </w:p>
        </w:tc>
        <w:tc>
          <w:tcPr>
            <w:tcW w:w="240" w:type="dxa"/>
            <w:vAlign w:val="bottom"/>
            <w:tcBorders>
              <w:top w:val="single" w:sz="8" w:color="2B4C9B"/>
            </w:tcBorders>
            <w:gridSpan w:val="9"/>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15">
              <w:r>
                <w:rPr>
                  <w:rFonts w:ascii="Arial" w:cs="Arial" w:eastAsia="Arial" w:hAnsi="Arial"/>
                  <w:sz w:val="18"/>
                  <w:szCs w:val="18"/>
                  <w:color w:val="2B4C9B"/>
                </w:rPr>
                <w:t>LLC, GAP Coinvestments CDA, L.P. and GAPCO GmbH &amp; Co. KG and KKR 2006 Fund L.P., KKR Partners III, L.P.,</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2120" w:type="dxa"/>
            <w:vAlign w:val="bottom"/>
            <w:gridSpan w:val="2"/>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00" w:type="dxa"/>
            <w:vAlign w:val="bottom"/>
            <w:shd w:val="clear" w:color="auto" w:fill="2B4C9B"/>
          </w:tcPr>
          <w:p>
            <w:pPr>
              <w:spacing w:after="0" w:line="20" w:lineRule="exact"/>
              <w:rPr>
                <w:sz w:val="1"/>
                <w:szCs w:val="1"/>
                <w:color w:val="auto"/>
              </w:rPr>
            </w:pPr>
          </w:p>
        </w:tc>
        <w:tc>
          <w:tcPr>
            <w:tcW w:w="800" w:type="dxa"/>
            <w:vAlign w:val="bottom"/>
            <w:shd w:val="clear" w:color="auto" w:fill="2B4C9B"/>
          </w:tcPr>
          <w:p>
            <w:pPr>
              <w:spacing w:after="0" w:line="20" w:lineRule="exact"/>
              <w:rPr>
                <w:sz w:val="1"/>
                <w:szCs w:val="1"/>
                <w:color w:val="auto"/>
              </w:rPr>
            </w:pPr>
          </w:p>
        </w:tc>
        <w:tc>
          <w:tcPr>
            <w:tcW w:w="2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15">
              <w:r>
                <w:rPr>
                  <w:rFonts w:ascii="Arial" w:cs="Arial" w:eastAsia="Arial" w:hAnsi="Arial"/>
                  <w:sz w:val="18"/>
                  <w:szCs w:val="18"/>
                  <w:color w:val="2B4C9B"/>
                </w:rPr>
                <w:t>OPERF Co-Investment LLC and 8 North America Investor L.P. Incorporated by reference to Exhibit 2.2 to the Company’s</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940" w:type="dxa"/>
            <w:vAlign w:val="bottom"/>
            <w:tcBorders>
              <w:top w:val="single" w:sz="8" w:color="2B4C9B"/>
              <w:bottom w:val="single" w:sz="8" w:color="2B4C9B"/>
            </w:tcBorders>
            <w:gridSpan w:val="9"/>
          </w:tcPr>
          <w:p>
            <w:pPr>
              <w:spacing w:after="0" w:line="182" w:lineRule="exact"/>
              <w:rPr>
                <w:rFonts w:ascii="Arial" w:cs="Arial" w:eastAsia="Arial" w:hAnsi="Arial"/>
                <w:sz w:val="18"/>
                <w:szCs w:val="18"/>
                <w:color w:val="2B4C9B"/>
                <w:w w:val="99"/>
              </w:rPr>
            </w:pPr>
            <w:hyperlink r:id="rId115">
              <w:r>
                <w:rPr>
                  <w:rFonts w:ascii="Arial" w:cs="Arial" w:eastAsia="Arial" w:hAnsi="Arial"/>
                  <w:sz w:val="18"/>
                  <w:szCs w:val="18"/>
                  <w:color w:val="2B4C9B"/>
                  <w:w w:val="99"/>
                </w:rPr>
                <w:t>Current Report on Form 8-K as filed with the SEC on September 10, 2018.</w:t>
              </w:r>
            </w:hyperlink>
          </w:p>
        </w:tc>
        <w:tc>
          <w:tcPr>
            <w:tcW w:w="3660" w:type="dxa"/>
            <w:vAlign w:val="bottom"/>
            <w:tcBorders>
              <w:top w:val="single" w:sz="8" w:color="2B4C9B"/>
            </w:tcBorders>
            <w:gridSpan w:val="14"/>
          </w:tcPr>
          <w:p>
            <w:pPr>
              <w:spacing w:after="0"/>
              <w:rPr>
                <w:sz w:val="15"/>
                <w:szCs w:val="15"/>
                <w:color w:val="auto"/>
              </w:rPr>
            </w:pPr>
          </w:p>
        </w:tc>
        <w:tc>
          <w:tcPr>
            <w:tcW w:w="280" w:type="dxa"/>
            <w:vAlign w:val="bottom"/>
            <w:gridSpan w:val="10"/>
          </w:tcPr>
          <w:p>
            <w:pPr>
              <w:spacing w:after="0"/>
              <w:rPr>
                <w:sz w:val="15"/>
                <w:szCs w:val="15"/>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16">
              <w:r>
                <w:rPr>
                  <w:rFonts w:ascii="Arial" w:cs="Arial" w:eastAsia="Arial" w:hAnsi="Arial"/>
                  <w:sz w:val="18"/>
                  <w:szCs w:val="18"/>
                  <w:color w:val="2B4C9B"/>
                </w:rPr>
                <w:t>3.</w:t>
              </w:r>
              <w:r>
                <w:rPr>
                  <w:rFonts w:ascii="Arial" w:cs="Arial" w:eastAsia="Arial" w:hAnsi="Arial"/>
                  <w:sz w:val="18"/>
                  <w:szCs w:val="18"/>
                  <w:u w:val="single" w:color="auto"/>
                  <w:color w:val="2B4C9B"/>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6">
              <w:r>
                <w:rPr>
                  <w:rFonts w:ascii="Arial" w:cs="Arial" w:eastAsia="Arial" w:hAnsi="Arial"/>
                  <w:sz w:val="18"/>
                  <w:szCs w:val="18"/>
                  <w:color w:val="2B4C9B"/>
                </w:rPr>
                <w:t>Amended and Restated Certificate of Incorporation. Incorporated by reference to Exhibit 3.1 to the Company’s Current</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0" w:type="dxa"/>
            <w:vAlign w:val="bottom"/>
            <w:tcBorders>
              <w:top w:val="single" w:sz="8" w:color="2B4C9B"/>
            </w:tcBorders>
            <w:gridSpan w:val="17"/>
          </w:tcPr>
          <w:p>
            <w:pPr>
              <w:spacing w:after="0" w:line="182" w:lineRule="exact"/>
              <w:rPr>
                <w:rFonts w:ascii="Arial" w:cs="Arial" w:eastAsia="Arial" w:hAnsi="Arial"/>
                <w:sz w:val="18"/>
                <w:szCs w:val="18"/>
                <w:color w:val="2B4C9B"/>
              </w:rPr>
            </w:pPr>
            <w:hyperlink r:id="rId116">
              <w:r>
                <w:rPr>
                  <w:rFonts w:ascii="Arial" w:cs="Arial" w:eastAsia="Arial" w:hAnsi="Arial"/>
                  <w:sz w:val="18"/>
                  <w:szCs w:val="18"/>
                  <w:color w:val="2B4C9B"/>
                </w:rPr>
                <w:t>Report on Form 8-K as filed with the SEC on October 1, 2013.</w:t>
              </w:r>
            </w:hyperlink>
          </w:p>
        </w:tc>
        <w:tc>
          <w:tcPr>
            <w:tcW w:w="480" w:type="dxa"/>
            <w:vAlign w:val="bottom"/>
            <w:gridSpan w:val="16"/>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212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17">
              <w:r>
                <w:rPr>
                  <w:rFonts w:ascii="Arial" w:cs="Arial" w:eastAsia="Arial" w:hAnsi="Arial"/>
                  <w:sz w:val="18"/>
                  <w:szCs w:val="18"/>
                  <w:color w:val="2B4C9B"/>
                </w:rPr>
                <w:t>3.</w:t>
              </w:r>
              <w:r>
                <w:rPr>
                  <w:rFonts w:ascii="Arial" w:cs="Arial" w:eastAsia="Arial" w:hAnsi="Arial"/>
                  <w:sz w:val="18"/>
                  <w:szCs w:val="18"/>
                  <w:u w:val="single" w:color="auto"/>
                  <w:color w:val="2B4C9B"/>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7">
              <w:r>
                <w:rPr>
                  <w:rFonts w:ascii="Arial" w:cs="Arial" w:eastAsia="Arial" w:hAnsi="Arial"/>
                  <w:sz w:val="18"/>
                  <w:szCs w:val="18"/>
                  <w:color w:val="2B4C9B"/>
                </w:rPr>
                <w:t>Amended and Restated Bylaws. Incorporated by reference to Exhibit 3.1 to the Company’s Current Report on Form 8-K as</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tcBorders>
              <w:top w:val="single" w:sz="8" w:color="2B4C9B"/>
              <w:bottom w:val="single" w:sz="8" w:color="2B4C9B"/>
            </w:tcBorders>
            <w:gridSpan w:val="5"/>
          </w:tcPr>
          <w:p>
            <w:pPr>
              <w:spacing w:after="0" w:line="182" w:lineRule="exact"/>
              <w:rPr>
                <w:rFonts w:ascii="Arial" w:cs="Arial" w:eastAsia="Arial" w:hAnsi="Arial"/>
                <w:sz w:val="18"/>
                <w:szCs w:val="18"/>
                <w:color w:val="2B4C9B"/>
                <w:w w:val="99"/>
              </w:rPr>
            </w:pPr>
            <w:hyperlink r:id="rId117">
              <w:r>
                <w:rPr>
                  <w:rFonts w:ascii="Arial" w:cs="Arial" w:eastAsia="Arial" w:hAnsi="Arial"/>
                  <w:sz w:val="18"/>
                  <w:szCs w:val="18"/>
                  <w:color w:val="2B4C9B"/>
                  <w:w w:val="99"/>
                </w:rPr>
                <w:t>filed with the SEC on June 8, 2017.</w:t>
              </w:r>
            </w:hyperlink>
          </w:p>
        </w:tc>
        <w:tc>
          <w:tcPr>
            <w:tcW w:w="6920" w:type="dxa"/>
            <w:vAlign w:val="bottom"/>
            <w:tcBorders>
              <w:top w:val="single" w:sz="8" w:color="2B4C9B"/>
            </w:tcBorders>
            <w:gridSpan w:val="23"/>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358"/>
        </w:trPr>
        <w:tc>
          <w:tcPr>
            <w:tcW w:w="460" w:type="dxa"/>
            <w:vAlign w:val="bottom"/>
            <w:gridSpan w:val="4"/>
          </w:tcPr>
          <w:p>
            <w:pPr>
              <w:ind w:left="40"/>
              <w:spacing w:after="0"/>
              <w:rPr>
                <w:rFonts w:ascii="Arial" w:cs="Arial" w:eastAsia="Arial" w:hAnsi="Arial"/>
                <w:sz w:val="18"/>
                <w:szCs w:val="18"/>
                <w:color w:val="2B4C9B"/>
              </w:rPr>
            </w:pPr>
            <w:hyperlink r:id="rId118">
              <w:r>
                <w:rPr>
                  <w:rFonts w:ascii="Arial" w:cs="Arial" w:eastAsia="Arial" w:hAnsi="Arial"/>
                  <w:sz w:val="18"/>
                  <w:szCs w:val="18"/>
                  <w:color w:val="2B4C9B"/>
                </w:rPr>
                <w:t>10.</w:t>
              </w:r>
              <w:r>
                <w:rPr>
                  <w:rFonts w:ascii="Arial" w:cs="Arial" w:eastAsia="Arial" w:hAnsi="Arial"/>
                  <w:sz w:val="18"/>
                  <w:szCs w:val="18"/>
                  <w:u w:val="single" w:color="auto"/>
                  <w:color w:val="2B4C9B"/>
                </w:rPr>
                <w:t>1</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8">
              <w:r>
                <w:rPr>
                  <w:rFonts w:ascii="Arial" w:cs="Arial" w:eastAsia="Arial" w:hAnsi="Arial"/>
                  <w:sz w:val="18"/>
                  <w:szCs w:val="18"/>
                  <w:color w:val="2B4C9B"/>
                </w:rPr>
                <w:t>Third Amended and Restated Credit Agreement by and among SAIC, Citibank, as administrative agent and collateral agent,</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40" w:type="dxa"/>
            <w:vAlign w:val="bottom"/>
            <w:tcBorders>
              <w:top w:val="single" w:sz="8" w:color="2B4C9B"/>
              <w:bottom w:val="single" w:sz="8" w:color="2B4C9B"/>
            </w:tcBorders>
            <w:gridSpan w:val="31"/>
          </w:tcPr>
          <w:p>
            <w:pPr>
              <w:spacing w:after="0" w:line="182" w:lineRule="exact"/>
              <w:rPr>
                <w:rFonts w:ascii="Arial" w:cs="Arial" w:eastAsia="Arial" w:hAnsi="Arial"/>
                <w:sz w:val="18"/>
                <w:szCs w:val="18"/>
                <w:color w:val="2B4C9B"/>
                <w:w w:val="99"/>
              </w:rPr>
            </w:pPr>
            <w:hyperlink r:id="rId118">
              <w:r>
                <w:rPr>
                  <w:rFonts w:ascii="Arial" w:cs="Arial" w:eastAsia="Arial" w:hAnsi="Arial"/>
                  <w:sz w:val="18"/>
                  <w:szCs w:val="18"/>
                  <w:color w:val="2B4C9B"/>
                  <w:w w:val="99"/>
                </w:rPr>
                <w:t>and certain other agents and lenders party thereto, dated October 31, 2018. Incorporated by reference to Exhibit 10.1 to the</w:t>
              </w:r>
            </w:hyperlink>
          </w:p>
        </w:tc>
        <w:tc>
          <w:tcPr>
            <w:tcW w:w="2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740" w:type="dxa"/>
            <w:vAlign w:val="bottom"/>
            <w:tcBorders>
              <w:bottom w:val="single" w:sz="8" w:color="2B4C9B"/>
            </w:tcBorders>
            <w:gridSpan w:val="10"/>
          </w:tcPr>
          <w:p>
            <w:pPr>
              <w:spacing w:after="0" w:line="182" w:lineRule="exact"/>
              <w:rPr>
                <w:rFonts w:ascii="Arial" w:cs="Arial" w:eastAsia="Arial" w:hAnsi="Arial"/>
                <w:sz w:val="18"/>
                <w:szCs w:val="18"/>
                <w:color w:val="2B4C9B"/>
                <w:w w:val="99"/>
              </w:rPr>
            </w:pPr>
            <w:hyperlink r:id="rId118">
              <w:r>
                <w:rPr>
                  <w:rFonts w:ascii="Arial" w:cs="Arial" w:eastAsia="Arial" w:hAnsi="Arial"/>
                  <w:sz w:val="18"/>
                  <w:szCs w:val="18"/>
                  <w:color w:val="2B4C9B"/>
                  <w:w w:val="99"/>
                </w:rPr>
                <w:t>Company’s Current Report on Form 8-K as filed with the SEC on November 5, 2018.</w:t>
              </w:r>
            </w:hyperlink>
          </w:p>
        </w:tc>
        <w:tc>
          <w:tcPr>
            <w:tcW w:w="3140" w:type="dxa"/>
            <w:vAlign w:val="bottom"/>
            <w:gridSpan w:val="23"/>
          </w:tcPr>
          <w:p>
            <w:pPr>
              <w:spacing w:after="0"/>
              <w:rPr>
                <w:sz w:val="15"/>
                <w:szCs w:val="15"/>
                <w:color w:val="auto"/>
              </w:rPr>
            </w:pPr>
          </w:p>
        </w:tc>
      </w:tr>
      <w:tr>
        <w:trPr>
          <w:trHeight w:val="358"/>
        </w:trPr>
        <w:tc>
          <w:tcPr>
            <w:tcW w:w="460" w:type="dxa"/>
            <w:vAlign w:val="bottom"/>
            <w:gridSpan w:val="4"/>
          </w:tcPr>
          <w:p>
            <w:pPr>
              <w:ind w:left="40"/>
              <w:spacing w:after="0"/>
              <w:rPr>
                <w:rFonts w:ascii="Arial" w:cs="Arial" w:eastAsia="Arial" w:hAnsi="Arial"/>
                <w:sz w:val="18"/>
                <w:szCs w:val="18"/>
                <w:color w:val="2B4C9B"/>
              </w:rPr>
            </w:pPr>
            <w:hyperlink r:id="rId119">
              <w:r>
                <w:rPr>
                  <w:rFonts w:ascii="Arial" w:cs="Arial" w:eastAsia="Arial" w:hAnsi="Arial"/>
                  <w:sz w:val="18"/>
                  <w:szCs w:val="18"/>
                  <w:color w:val="2B4C9B"/>
                </w:rPr>
                <w:t>10.</w:t>
              </w:r>
              <w:r>
                <w:rPr>
                  <w:rFonts w:ascii="Arial" w:cs="Arial" w:eastAsia="Arial" w:hAnsi="Arial"/>
                  <w:sz w:val="18"/>
                  <w:szCs w:val="18"/>
                  <w:u w:val="single" w:color="auto"/>
                  <w:color w:val="2B4C9B"/>
                </w:rPr>
                <w:t>2</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19">
              <w:r>
                <w:rPr>
                  <w:rFonts w:ascii="Arial" w:cs="Arial" w:eastAsia="Arial" w:hAnsi="Arial"/>
                  <w:sz w:val="18"/>
                  <w:szCs w:val="18"/>
                  <w:color w:val="2B4C9B"/>
                </w:rPr>
                <w:t>Term Loan B Incremental Facility Commitment Letter, dated as of September 9, 2018, among Citigroup Global Markets Inc.</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20" w:type="dxa"/>
            <w:vAlign w:val="bottom"/>
            <w:tcBorders>
              <w:top w:val="single" w:sz="8" w:color="2B4C9B"/>
              <w:bottom w:val="single" w:sz="8" w:color="2B4C9B"/>
            </w:tcBorders>
            <w:gridSpan w:val="20"/>
          </w:tcPr>
          <w:p>
            <w:pPr>
              <w:spacing w:after="0" w:line="182" w:lineRule="exact"/>
              <w:rPr>
                <w:rFonts w:ascii="Arial" w:cs="Arial" w:eastAsia="Arial" w:hAnsi="Arial"/>
                <w:sz w:val="18"/>
                <w:szCs w:val="18"/>
                <w:color w:val="2B4C9B"/>
              </w:rPr>
            </w:pPr>
            <w:hyperlink r:id="rId119">
              <w:r>
                <w:rPr>
                  <w:rFonts w:ascii="Arial" w:cs="Arial" w:eastAsia="Arial" w:hAnsi="Arial"/>
                  <w:sz w:val="18"/>
                  <w:szCs w:val="18"/>
                  <w:color w:val="2B4C9B"/>
                </w:rPr>
                <w:t>and Science Applications International Corporation. Incorporated by reference to Exhibit 10.1 to the Company’s Current</w:t>
              </w:r>
            </w:hyperlink>
          </w:p>
        </w:tc>
        <w:tc>
          <w:tcPr>
            <w:tcW w:w="260" w:type="dxa"/>
            <w:vAlign w:val="bottom"/>
            <w:tcBorders>
              <w:top w:val="single" w:sz="8" w:color="2B4C9B"/>
            </w:tcBorders>
            <w:gridSpan w:val="10"/>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19">
              <w:r>
                <w:rPr>
                  <w:rFonts w:ascii="Arial" w:cs="Arial" w:eastAsia="Arial" w:hAnsi="Arial"/>
                  <w:sz w:val="18"/>
                  <w:szCs w:val="18"/>
                  <w:color w:val="2B4C9B"/>
                </w:rPr>
                <w:t>Report on Form 8-K filed with the SEC on September 10, 2018.</w:t>
              </w:r>
            </w:hyperlink>
          </w:p>
        </w:tc>
      </w:tr>
      <w:tr>
        <w:trPr>
          <w:trHeight w:val="20"/>
        </w:trPr>
        <w:tc>
          <w:tcPr>
            <w:tcW w:w="4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3320" w:type="dxa"/>
            <w:vAlign w:val="bottom"/>
            <w:gridSpan w:val="4"/>
            <w:shd w:val="clear" w:color="auto" w:fill="2B4C9B"/>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rPr>
            </w:pPr>
            <w:hyperlink r:id="rId120">
              <w:r>
                <w:rPr>
                  <w:rFonts w:ascii="Arial" w:cs="Arial" w:eastAsia="Arial" w:hAnsi="Arial"/>
                  <w:sz w:val="18"/>
                  <w:szCs w:val="18"/>
                  <w:color w:val="2B4C9B"/>
                </w:rPr>
                <w:t>10.</w:t>
              </w:r>
              <w:r>
                <w:rPr>
                  <w:rFonts w:ascii="Arial" w:cs="Arial" w:eastAsia="Arial" w:hAnsi="Arial"/>
                  <w:sz w:val="18"/>
                  <w:szCs w:val="18"/>
                  <w:u w:val="single" w:color="auto"/>
                  <w:color w:val="2B4C9B"/>
                </w:rPr>
                <w:t>3</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0">
              <w:r>
                <w:rPr>
                  <w:rFonts w:ascii="Arial" w:cs="Arial" w:eastAsia="Arial" w:hAnsi="Arial"/>
                  <w:sz w:val="18"/>
                  <w:szCs w:val="18"/>
                  <w:color w:val="2B4C9B"/>
                </w:rPr>
                <w:t>Second Amendment to the Second Amended and Restated Credit Agreement, dated February 7, 2018 by and among the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60" w:type="dxa"/>
            <w:vAlign w:val="bottom"/>
            <w:tcBorders>
              <w:top w:val="single" w:sz="8" w:color="2B4C9B"/>
            </w:tcBorders>
            <w:gridSpan w:val="26"/>
          </w:tcPr>
          <w:p>
            <w:pPr>
              <w:spacing w:after="0" w:line="182" w:lineRule="exact"/>
              <w:rPr>
                <w:rFonts w:ascii="Arial" w:cs="Arial" w:eastAsia="Arial" w:hAnsi="Arial"/>
                <w:sz w:val="18"/>
                <w:szCs w:val="18"/>
                <w:color w:val="2B4C9B"/>
              </w:rPr>
            </w:pPr>
            <w:hyperlink r:id="rId120">
              <w:r>
                <w:rPr>
                  <w:rFonts w:ascii="Arial" w:cs="Arial" w:eastAsia="Arial" w:hAnsi="Arial"/>
                  <w:sz w:val="18"/>
                  <w:szCs w:val="18"/>
                  <w:color w:val="2B4C9B"/>
                </w:rPr>
                <w:t>Company, Citibank N.A. as administrative agent and collateral agent, and certain other lenders and parties thereto.</w:t>
              </w:r>
            </w:hyperlink>
          </w:p>
        </w:tc>
        <w:tc>
          <w:tcPr>
            <w:tcW w:w="220" w:type="dxa"/>
            <w:vAlign w:val="bottom"/>
            <w:gridSpan w:val="7"/>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160" w:type="dxa"/>
            <w:vAlign w:val="bottom"/>
            <w:gridSpan w:val="7"/>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0">
              <w:r>
                <w:rPr>
                  <w:rFonts w:ascii="Arial" w:cs="Arial" w:eastAsia="Arial" w:hAnsi="Arial"/>
                  <w:sz w:val="18"/>
                  <w:szCs w:val="18"/>
                  <w:color w:val="2B4C9B"/>
                </w:rPr>
                <w:t>Incorporated by reference to Exhibit 10.1 to the Company’s Current Report on Form 8-K as filed with the SEC on February</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Borders>
              <w:top w:val="single" w:sz="8" w:color="2B4C9B"/>
              <w:bottom w:val="single" w:sz="8" w:color="2B4C9B"/>
            </w:tcBorders>
          </w:tcPr>
          <w:p>
            <w:pPr>
              <w:spacing w:after="0" w:line="182" w:lineRule="exact"/>
              <w:rPr>
                <w:rFonts w:ascii="Arial" w:cs="Arial" w:eastAsia="Arial" w:hAnsi="Arial"/>
                <w:sz w:val="18"/>
                <w:szCs w:val="18"/>
                <w:color w:val="2B4C9B"/>
                <w:w w:val="98"/>
              </w:rPr>
            </w:pPr>
            <w:hyperlink r:id="rId120">
              <w:r>
                <w:rPr>
                  <w:rFonts w:ascii="Arial" w:cs="Arial" w:eastAsia="Arial" w:hAnsi="Arial"/>
                  <w:sz w:val="18"/>
                  <w:szCs w:val="18"/>
                  <w:color w:val="2B4C9B"/>
                  <w:w w:val="98"/>
                </w:rPr>
                <w:t>9, 2018.</w:t>
              </w:r>
            </w:hyperlink>
          </w:p>
        </w:tc>
        <w:tc>
          <w:tcPr>
            <w:tcW w:w="100" w:type="dxa"/>
            <w:vAlign w:val="bottom"/>
            <w:tcBorders>
              <w:top w:val="single" w:sz="8" w:color="2B4C9B"/>
            </w:tcBorders>
          </w:tcPr>
          <w:p>
            <w:pPr>
              <w:spacing w:after="0"/>
              <w:rPr>
                <w:sz w:val="15"/>
                <w:szCs w:val="15"/>
                <w:color w:val="auto"/>
              </w:rPr>
            </w:pPr>
          </w:p>
        </w:tc>
        <w:tc>
          <w:tcPr>
            <w:tcW w:w="9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1100" w:type="dxa"/>
            <w:vAlign w:val="bottom"/>
            <w:tcBorders>
              <w:top w:val="single" w:sz="8" w:color="2B4C9B"/>
            </w:tcBorders>
          </w:tcPr>
          <w:p>
            <w:pPr>
              <w:spacing w:after="0"/>
              <w:rPr>
                <w:sz w:val="15"/>
                <w:szCs w:val="15"/>
                <w:color w:val="auto"/>
              </w:rPr>
            </w:pPr>
          </w:p>
        </w:tc>
        <w:tc>
          <w:tcPr>
            <w:tcW w:w="48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900" w:type="dxa"/>
            <w:vAlign w:val="bottom"/>
            <w:tcBorders>
              <w:top w:val="single" w:sz="8" w:color="2B4C9B"/>
            </w:tcBorders>
          </w:tcPr>
          <w:p>
            <w:pPr>
              <w:spacing w:after="0"/>
              <w:rPr>
                <w:sz w:val="15"/>
                <w:szCs w:val="15"/>
                <w:color w:val="auto"/>
              </w:rPr>
            </w:pPr>
          </w:p>
        </w:tc>
        <w:tc>
          <w:tcPr>
            <w:tcW w:w="800" w:type="dxa"/>
            <w:vAlign w:val="bottom"/>
            <w:tcBorders>
              <w:top w:val="single" w:sz="8" w:color="2B4C9B"/>
            </w:tcBorders>
          </w:tcPr>
          <w:p>
            <w:pPr>
              <w:spacing w:after="0"/>
              <w:rPr>
                <w:sz w:val="15"/>
                <w:szCs w:val="15"/>
                <w:color w:val="auto"/>
              </w:rPr>
            </w:pPr>
          </w:p>
        </w:tc>
        <w:tc>
          <w:tcPr>
            <w:tcW w:w="21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460" w:type="dxa"/>
            <w:vAlign w:val="bottom"/>
            <w:gridSpan w:val="4"/>
          </w:tcPr>
          <w:p>
            <w:pPr>
              <w:ind w:left="40"/>
              <w:spacing w:after="0"/>
              <w:rPr>
                <w:rFonts w:ascii="Arial" w:cs="Arial" w:eastAsia="Arial" w:hAnsi="Arial"/>
                <w:sz w:val="18"/>
                <w:szCs w:val="18"/>
                <w:color w:val="2B4C9B"/>
              </w:rPr>
            </w:pPr>
            <w:hyperlink r:id="rId121">
              <w:r>
                <w:rPr>
                  <w:rFonts w:ascii="Arial" w:cs="Arial" w:eastAsia="Arial" w:hAnsi="Arial"/>
                  <w:sz w:val="18"/>
                  <w:szCs w:val="18"/>
                  <w:color w:val="2B4C9B"/>
                </w:rPr>
                <w:t>10.</w:t>
              </w:r>
              <w:r>
                <w:rPr>
                  <w:rFonts w:ascii="Arial" w:cs="Arial" w:eastAsia="Arial" w:hAnsi="Arial"/>
                  <w:sz w:val="18"/>
                  <w:szCs w:val="18"/>
                  <w:u w:val="single" w:color="auto"/>
                  <w:color w:val="2B4C9B"/>
                </w:rPr>
                <w:t>4</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1">
              <w:r>
                <w:rPr>
                  <w:rFonts w:ascii="Arial" w:cs="Arial" w:eastAsia="Arial" w:hAnsi="Arial"/>
                  <w:sz w:val="18"/>
                  <w:szCs w:val="18"/>
                  <w:color w:val="2B4C9B"/>
                </w:rPr>
                <w:t>First Amendment to the Second Amended and Restated Credit Agreement, dated August 23, 2016 by and among the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340" w:type="dxa"/>
            <w:vAlign w:val="bottom"/>
            <w:tcBorders>
              <w:top w:val="single" w:sz="8" w:color="2B4C9B"/>
            </w:tcBorders>
            <w:gridSpan w:val="15"/>
          </w:tcPr>
          <w:p>
            <w:pPr>
              <w:spacing w:after="0" w:line="182" w:lineRule="exact"/>
              <w:rPr>
                <w:rFonts w:ascii="Arial" w:cs="Arial" w:eastAsia="Arial" w:hAnsi="Arial"/>
                <w:sz w:val="18"/>
                <w:szCs w:val="18"/>
                <w:color w:val="2B4C9B"/>
              </w:rPr>
            </w:pPr>
            <w:hyperlink r:id="rId121">
              <w:r>
                <w:rPr>
                  <w:rFonts w:ascii="Arial" w:cs="Arial" w:eastAsia="Arial" w:hAnsi="Arial"/>
                  <w:sz w:val="18"/>
                  <w:szCs w:val="18"/>
                  <w:color w:val="2B4C9B"/>
                </w:rPr>
                <w:t>Company, Citibank N.A. as administrative agent and collateral agent, and certain other lenders and parties thereto.</w:t>
              </w:r>
            </w:hyperlink>
          </w:p>
        </w:tc>
        <w:tc>
          <w:tcPr>
            <w:tcW w:w="540" w:type="dxa"/>
            <w:vAlign w:val="bottom"/>
            <w:gridSpan w:val="18"/>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160" w:type="dxa"/>
            <w:vAlign w:val="bottom"/>
            <w:gridSpan w:val="7"/>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1">
              <w:r>
                <w:rPr>
                  <w:rFonts w:ascii="Arial" w:cs="Arial" w:eastAsia="Arial" w:hAnsi="Arial"/>
                  <w:sz w:val="18"/>
                  <w:szCs w:val="18"/>
                  <w:color w:val="2B4C9B"/>
                </w:rPr>
                <w:t>Incorporated by reference to Exhibit 10.1 to the Company’s Current Report on Form 8-K as filed with the SEC on August</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Borders>
              <w:top w:val="single" w:sz="8" w:color="2B4C9B"/>
              <w:bottom w:val="single" w:sz="8" w:color="2B4C9B"/>
            </w:tcBorders>
            <w:gridSpan w:val="2"/>
          </w:tcPr>
          <w:p>
            <w:pPr>
              <w:spacing w:after="0" w:line="182" w:lineRule="exact"/>
              <w:rPr>
                <w:rFonts w:ascii="Arial" w:cs="Arial" w:eastAsia="Arial" w:hAnsi="Arial"/>
                <w:sz w:val="18"/>
                <w:szCs w:val="18"/>
                <w:color w:val="2B4C9B"/>
                <w:w w:val="98"/>
              </w:rPr>
            </w:pPr>
            <w:hyperlink r:id="rId121">
              <w:r>
                <w:rPr>
                  <w:rFonts w:ascii="Arial" w:cs="Arial" w:eastAsia="Arial" w:hAnsi="Arial"/>
                  <w:sz w:val="18"/>
                  <w:szCs w:val="18"/>
                  <w:color w:val="2B4C9B"/>
                  <w:w w:val="98"/>
                </w:rPr>
                <w:t>25, 2016.</w:t>
              </w:r>
            </w:hyperlink>
          </w:p>
        </w:tc>
        <w:tc>
          <w:tcPr>
            <w:tcW w:w="9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1100" w:type="dxa"/>
            <w:vAlign w:val="bottom"/>
            <w:tcBorders>
              <w:top w:val="single" w:sz="8" w:color="2B4C9B"/>
            </w:tcBorders>
          </w:tcPr>
          <w:p>
            <w:pPr>
              <w:spacing w:after="0"/>
              <w:rPr>
                <w:sz w:val="15"/>
                <w:szCs w:val="15"/>
                <w:color w:val="auto"/>
              </w:rPr>
            </w:pPr>
          </w:p>
        </w:tc>
        <w:tc>
          <w:tcPr>
            <w:tcW w:w="48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900" w:type="dxa"/>
            <w:vAlign w:val="bottom"/>
            <w:tcBorders>
              <w:top w:val="single" w:sz="8" w:color="2B4C9B"/>
            </w:tcBorders>
          </w:tcPr>
          <w:p>
            <w:pPr>
              <w:spacing w:after="0"/>
              <w:rPr>
                <w:sz w:val="15"/>
                <w:szCs w:val="15"/>
                <w:color w:val="auto"/>
              </w:rPr>
            </w:pPr>
          </w:p>
        </w:tc>
        <w:tc>
          <w:tcPr>
            <w:tcW w:w="800" w:type="dxa"/>
            <w:vAlign w:val="bottom"/>
            <w:tcBorders>
              <w:top w:val="single" w:sz="8" w:color="2B4C9B"/>
            </w:tcBorders>
          </w:tcPr>
          <w:p>
            <w:pPr>
              <w:spacing w:after="0"/>
              <w:rPr>
                <w:sz w:val="15"/>
                <w:szCs w:val="15"/>
                <w:color w:val="auto"/>
              </w:rPr>
            </w:pPr>
          </w:p>
        </w:tc>
        <w:tc>
          <w:tcPr>
            <w:tcW w:w="21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rPr>
            </w:pPr>
            <w:hyperlink r:id="rId122">
              <w:r>
                <w:rPr>
                  <w:rFonts w:ascii="Arial" w:cs="Arial" w:eastAsia="Arial" w:hAnsi="Arial"/>
                  <w:sz w:val="18"/>
                  <w:szCs w:val="18"/>
                  <w:color w:val="2B4C9B"/>
                </w:rPr>
                <w:t>10.</w:t>
              </w:r>
              <w:r>
                <w:rPr>
                  <w:rFonts w:ascii="Arial" w:cs="Arial" w:eastAsia="Arial" w:hAnsi="Arial"/>
                  <w:sz w:val="18"/>
                  <w:szCs w:val="18"/>
                  <w:u w:val="single" w:color="auto"/>
                  <w:color w:val="2B4C9B"/>
                </w:rPr>
                <w:t>5</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2">
              <w:r>
                <w:rPr>
                  <w:rFonts w:ascii="Arial" w:cs="Arial" w:eastAsia="Arial" w:hAnsi="Arial"/>
                  <w:sz w:val="18"/>
                  <w:szCs w:val="18"/>
                  <w:color w:val="2B4C9B"/>
                </w:rPr>
                <w:t>Second Amended and Restated Credit Agreement, dated May 4, 2015 by and among the Company, Citibank N.A. as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gridSpan w:val="3"/>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160" w:type="dxa"/>
            <w:vAlign w:val="bottom"/>
            <w:gridSpan w:val="7"/>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320" w:type="dxa"/>
            <w:vAlign w:val="bottom"/>
            <w:gridSpan w:val="2"/>
            <w:shd w:val="clear" w:color="auto" w:fill="2B4C9B"/>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2">
              <w:r>
                <w:rPr>
                  <w:rFonts w:ascii="Arial" w:cs="Arial" w:eastAsia="Arial" w:hAnsi="Arial"/>
                  <w:sz w:val="18"/>
                  <w:szCs w:val="18"/>
                  <w:color w:val="2B4C9B"/>
                </w:rPr>
                <w:t>administrative agent and collateral agent, and Bank of America, N.A., as a syndication agent, and certain other lenders and</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40" w:type="dxa"/>
            <w:vAlign w:val="bottom"/>
            <w:tcBorders>
              <w:top w:val="single" w:sz="8" w:color="2B4C9B"/>
              <w:bottom w:val="single" w:sz="8" w:color="2B4C9B"/>
            </w:tcBorders>
            <w:gridSpan w:val="21"/>
          </w:tcPr>
          <w:p>
            <w:pPr>
              <w:spacing w:after="0" w:line="182" w:lineRule="exact"/>
              <w:rPr>
                <w:rFonts w:ascii="Arial" w:cs="Arial" w:eastAsia="Arial" w:hAnsi="Arial"/>
                <w:sz w:val="18"/>
                <w:szCs w:val="18"/>
                <w:color w:val="2B4C9B"/>
                <w:w w:val="99"/>
              </w:rPr>
            </w:pPr>
            <w:hyperlink r:id="rId122">
              <w:r>
                <w:rPr>
                  <w:rFonts w:ascii="Arial" w:cs="Arial" w:eastAsia="Arial" w:hAnsi="Arial"/>
                  <w:sz w:val="18"/>
                  <w:szCs w:val="18"/>
                  <w:color w:val="2B4C9B"/>
                  <w:w w:val="99"/>
                </w:rPr>
                <w:t>parties thereto. Incorporated by reference to Exhibit 10.1 to the Company’s Current Report on Form 8-K as filed with the</w:t>
              </w:r>
            </w:hyperlink>
          </w:p>
        </w:tc>
        <w:tc>
          <w:tcPr>
            <w:tcW w:w="240" w:type="dxa"/>
            <w:vAlign w:val="bottom"/>
            <w:tcBorders>
              <w:top w:val="single" w:sz="8" w:color="2B4C9B"/>
            </w:tcBorders>
            <w:gridSpan w:val="9"/>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Borders>
              <w:bottom w:val="single" w:sz="8" w:color="2B4C9B"/>
            </w:tcBorders>
            <w:gridSpan w:val="4"/>
          </w:tcPr>
          <w:p>
            <w:pPr>
              <w:spacing w:after="0" w:line="182" w:lineRule="exact"/>
              <w:rPr>
                <w:rFonts w:ascii="Arial" w:cs="Arial" w:eastAsia="Arial" w:hAnsi="Arial"/>
                <w:sz w:val="18"/>
                <w:szCs w:val="18"/>
                <w:color w:val="2B4C9B"/>
                <w:w w:val="99"/>
              </w:rPr>
            </w:pPr>
            <w:hyperlink r:id="rId122">
              <w:r>
                <w:rPr>
                  <w:rFonts w:ascii="Arial" w:cs="Arial" w:eastAsia="Arial" w:hAnsi="Arial"/>
                  <w:sz w:val="18"/>
                  <w:szCs w:val="18"/>
                  <w:color w:val="2B4C9B"/>
                  <w:w w:val="99"/>
                </w:rPr>
                <w:t>SEC on May 4, 2015.</w:t>
              </w:r>
            </w:hyperlink>
          </w:p>
        </w:tc>
        <w:tc>
          <w:tcPr>
            <w:tcW w:w="8160" w:type="dxa"/>
            <w:vAlign w:val="bottom"/>
            <w:gridSpan w:val="29"/>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23">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6*</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3">
              <w:r>
                <w:rPr>
                  <w:rFonts w:ascii="Arial" w:cs="Arial" w:eastAsia="Arial" w:hAnsi="Arial"/>
                  <w:sz w:val="18"/>
                  <w:szCs w:val="18"/>
                  <w:color w:val="2B4C9B"/>
                </w:rPr>
                <w:t>Science Applications International Corporation Management Stock Compensation Plan, effective September 27,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gridSpan w:val="3"/>
            <w:shd w:val="clear" w:color="auto" w:fill="2B4C9B"/>
          </w:tcPr>
          <w:p>
            <w:pPr>
              <w:spacing w:after="0" w:line="20" w:lineRule="exact"/>
              <w:rPr>
                <w:sz w:val="1"/>
                <w:szCs w:val="1"/>
                <w:color w:val="auto"/>
              </w:rPr>
            </w:pPr>
          </w:p>
        </w:tc>
        <w:tc>
          <w:tcPr>
            <w:tcW w:w="7200" w:type="dxa"/>
            <w:vAlign w:val="bottom"/>
            <w:gridSpan w:val="8"/>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440" w:type="dxa"/>
            <w:vAlign w:val="bottom"/>
            <w:gridSpan w:val="6"/>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19"/>
          </w:tcPr>
          <w:p>
            <w:pPr>
              <w:spacing w:after="0" w:line="182" w:lineRule="exact"/>
              <w:rPr>
                <w:rFonts w:ascii="Arial" w:cs="Arial" w:eastAsia="Arial" w:hAnsi="Arial"/>
                <w:sz w:val="18"/>
                <w:szCs w:val="18"/>
                <w:color w:val="2B4C9B"/>
                <w:w w:val="99"/>
              </w:rPr>
            </w:pPr>
            <w:hyperlink r:id="rId123">
              <w:r>
                <w:rPr>
                  <w:rFonts w:ascii="Arial" w:cs="Arial" w:eastAsia="Arial" w:hAnsi="Arial"/>
                  <w:sz w:val="18"/>
                  <w:szCs w:val="18"/>
                  <w:color w:val="2B4C9B"/>
                  <w:w w:val="99"/>
                </w:rPr>
                <w:t>Incorporated by reference to Exhibit 4.4 to the Company’s Registration Statement on Form S-8 as filed with the SEC on</w:t>
              </w:r>
            </w:hyperlink>
          </w:p>
        </w:tc>
        <w:tc>
          <w:tcPr>
            <w:tcW w:w="380" w:type="dxa"/>
            <w:vAlign w:val="bottom"/>
            <w:gridSpan w:val="1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3">
              <w:r>
                <w:rPr>
                  <w:rFonts w:ascii="Arial" w:cs="Arial" w:eastAsia="Arial" w:hAnsi="Arial"/>
                  <w:sz w:val="18"/>
                  <w:szCs w:val="18"/>
                  <w:color w:val="2B4C9B"/>
                </w:rPr>
                <w:t>September 27, 2013.</w:t>
              </w:r>
            </w:hyperlink>
          </w:p>
        </w:tc>
      </w:tr>
      <w:tr>
        <w:trPr>
          <w:trHeight w:val="20"/>
        </w:trPr>
        <w:tc>
          <w:tcPr>
            <w:tcW w:w="4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gridSpan w:val="3"/>
            <w:shd w:val="clear" w:color="auto" w:fill="2B4C9B"/>
          </w:tcPr>
          <w:p>
            <w:pPr>
              <w:spacing w:after="0" w:line="20" w:lineRule="exact"/>
              <w:rPr>
                <w:sz w:val="1"/>
                <w:szCs w:val="1"/>
                <w:color w:val="auto"/>
              </w:rPr>
            </w:pPr>
          </w:p>
        </w:tc>
        <w:tc>
          <w:tcPr>
            <w:tcW w:w="72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1"/>
          </w:tcPr>
          <w:p>
            <w:pPr>
              <w:spacing w:after="0" w:line="20" w:lineRule="exact"/>
              <w:rPr>
                <w:sz w:val="1"/>
                <w:szCs w:val="1"/>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24">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7*</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4">
              <w:r>
                <w:rPr>
                  <w:rFonts w:ascii="Arial" w:cs="Arial" w:eastAsia="Arial" w:hAnsi="Arial"/>
                  <w:sz w:val="18"/>
                  <w:szCs w:val="18"/>
                  <w:color w:val="2B4C9B"/>
                </w:rPr>
                <w:t>Science Applications International Corporation Key Executive Stock Deferral Plan, effective September 27,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80" w:type="dxa"/>
            <w:vAlign w:val="bottom"/>
            <w:gridSpan w:val="11"/>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00" w:type="dxa"/>
            <w:vAlign w:val="bottom"/>
            <w:gridSpan w:val="21"/>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19"/>
          </w:tcPr>
          <w:p>
            <w:pPr>
              <w:spacing w:after="0" w:line="182" w:lineRule="exact"/>
              <w:rPr>
                <w:rFonts w:ascii="Arial" w:cs="Arial" w:eastAsia="Arial" w:hAnsi="Arial"/>
                <w:sz w:val="18"/>
                <w:szCs w:val="18"/>
                <w:color w:val="2B4C9B"/>
                <w:w w:val="99"/>
              </w:rPr>
            </w:pPr>
            <w:hyperlink r:id="rId124">
              <w:r>
                <w:rPr>
                  <w:rFonts w:ascii="Arial" w:cs="Arial" w:eastAsia="Arial" w:hAnsi="Arial"/>
                  <w:sz w:val="18"/>
                  <w:szCs w:val="18"/>
                  <w:color w:val="2B4C9B"/>
                  <w:w w:val="99"/>
                </w:rPr>
                <w:t>Incorporated by reference to Exhibit 4.5 to the Company’s Registration Statement on Form S-8 as filed with the SEC on</w:t>
              </w:r>
            </w:hyperlink>
          </w:p>
        </w:tc>
        <w:tc>
          <w:tcPr>
            <w:tcW w:w="380" w:type="dxa"/>
            <w:vAlign w:val="bottom"/>
            <w:gridSpan w:val="1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4">
              <w:r>
                <w:rPr>
                  <w:rFonts w:ascii="Arial" w:cs="Arial" w:eastAsia="Arial" w:hAnsi="Arial"/>
                  <w:sz w:val="18"/>
                  <w:szCs w:val="18"/>
                  <w:color w:val="2B4C9B"/>
                </w:rPr>
                <w:t>September 27, 2013.</w:t>
              </w:r>
            </w:hyperlink>
          </w:p>
        </w:tc>
      </w:tr>
      <w:tr>
        <w:trPr>
          <w:trHeight w:val="20"/>
        </w:trPr>
        <w:tc>
          <w:tcPr>
            <w:tcW w:w="4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gridSpan w:val="3"/>
            <w:shd w:val="clear" w:color="auto" w:fill="2B4C9B"/>
          </w:tcPr>
          <w:p>
            <w:pPr>
              <w:spacing w:after="0" w:line="20" w:lineRule="exact"/>
              <w:rPr>
                <w:sz w:val="1"/>
                <w:szCs w:val="1"/>
                <w:color w:val="auto"/>
              </w:rPr>
            </w:pPr>
          </w:p>
        </w:tc>
        <w:tc>
          <w:tcPr>
            <w:tcW w:w="7200" w:type="dxa"/>
            <w:vAlign w:val="bottom"/>
            <w:gridSpan w:val="8"/>
          </w:tcPr>
          <w:p>
            <w:pPr>
              <w:spacing w:after="0" w:line="20" w:lineRule="exact"/>
              <w:rPr>
                <w:sz w:val="1"/>
                <w:szCs w:val="1"/>
                <w:color w:val="auto"/>
              </w:rPr>
            </w:pPr>
          </w:p>
        </w:tc>
        <w:tc>
          <w:tcPr>
            <w:tcW w:w="1000" w:type="dxa"/>
            <w:vAlign w:val="bottom"/>
            <w:gridSpan w:val="22"/>
          </w:tcPr>
          <w:p>
            <w:pPr>
              <w:spacing w:after="0" w:line="20" w:lineRule="exact"/>
              <w:rPr>
                <w:sz w:val="1"/>
                <w:szCs w:val="1"/>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25">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8*</w:t>
              </w:r>
            </w:hyperlink>
          </w:p>
        </w:tc>
        <w:tc>
          <w:tcPr>
            <w:tcW w:w="106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2B4C9B"/>
              </w:rPr>
            </w:pPr>
            <w:hyperlink r:id="rId125">
              <w:r>
                <w:rPr>
                  <w:rFonts w:ascii="Arial" w:cs="Arial" w:eastAsia="Arial" w:hAnsi="Arial"/>
                  <w:sz w:val="18"/>
                  <w:szCs w:val="18"/>
                  <w:color w:val="2B4C9B"/>
                </w:rPr>
                <w:t>Science Applications International Corporation 2013 Employee Stock Purchase Plan, effective October 1,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80" w:type="dxa"/>
            <w:vAlign w:val="bottom"/>
            <w:gridSpan w:val="11"/>
            <w:shd w:val="clear" w:color="auto" w:fill="2B4C9B"/>
          </w:tcPr>
          <w:p>
            <w:pPr>
              <w:spacing w:after="0" w:line="20" w:lineRule="exact"/>
              <w:rPr>
                <w:sz w:val="1"/>
                <w:szCs w:val="1"/>
                <w:color w:val="auto"/>
              </w:rPr>
            </w:pPr>
          </w:p>
        </w:tc>
        <w:tc>
          <w:tcPr>
            <w:tcW w:w="1000" w:type="dxa"/>
            <w:vAlign w:val="bottom"/>
            <w:gridSpan w:val="2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19"/>
          </w:tcPr>
          <w:p>
            <w:pPr>
              <w:spacing w:after="0" w:line="182" w:lineRule="exact"/>
              <w:rPr>
                <w:rFonts w:ascii="Arial" w:cs="Arial" w:eastAsia="Arial" w:hAnsi="Arial"/>
                <w:sz w:val="18"/>
                <w:szCs w:val="18"/>
                <w:color w:val="2B4C9B"/>
                <w:w w:val="99"/>
              </w:rPr>
            </w:pPr>
            <w:hyperlink r:id="rId125">
              <w:r>
                <w:rPr>
                  <w:rFonts w:ascii="Arial" w:cs="Arial" w:eastAsia="Arial" w:hAnsi="Arial"/>
                  <w:sz w:val="18"/>
                  <w:szCs w:val="18"/>
                  <w:color w:val="2B4C9B"/>
                  <w:w w:val="99"/>
                </w:rPr>
                <w:t>Incorporated by reference to Exhibit 4.7 to the Company’s Registration Statement on Form S-8 as filed with the SEC on</w:t>
              </w:r>
            </w:hyperlink>
          </w:p>
        </w:tc>
        <w:tc>
          <w:tcPr>
            <w:tcW w:w="380" w:type="dxa"/>
            <w:vAlign w:val="bottom"/>
            <w:gridSpan w:val="1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33"/>
          </w:tcPr>
          <w:p>
            <w:pPr>
              <w:spacing w:after="0" w:line="182" w:lineRule="exact"/>
              <w:rPr>
                <w:rFonts w:ascii="Arial" w:cs="Arial" w:eastAsia="Arial" w:hAnsi="Arial"/>
                <w:sz w:val="18"/>
                <w:szCs w:val="18"/>
                <w:color w:val="2B4C9B"/>
              </w:rPr>
            </w:pPr>
            <w:hyperlink r:id="rId125">
              <w:r>
                <w:rPr>
                  <w:rFonts w:ascii="Arial" w:cs="Arial" w:eastAsia="Arial" w:hAnsi="Arial"/>
                  <w:sz w:val="18"/>
                  <w:szCs w:val="18"/>
                  <w:color w:val="2B4C9B"/>
                </w:rPr>
                <w:t>September 27, 2013.</w:t>
              </w:r>
            </w:hyperlink>
          </w:p>
        </w:tc>
      </w:tr>
      <w:tr>
        <w:trPr>
          <w:trHeight w:val="493"/>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920" w:type="dxa"/>
            <w:vAlign w:val="bottom"/>
            <w:tcBorders>
              <w:top w:val="single" w:sz="8" w:color="2B4C9B"/>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27"/>
          </w:tcPr>
          <w:p>
            <w:pPr>
              <w:jc w:val="center"/>
              <w:ind w:right="4800"/>
              <w:spacing w:after="0"/>
              <w:rPr>
                <w:sz w:val="20"/>
                <w:szCs w:val="20"/>
                <w:color w:val="auto"/>
              </w:rPr>
            </w:pPr>
            <w:r>
              <w:rPr>
                <w:rFonts w:ascii="Arial" w:cs="Arial" w:eastAsia="Arial" w:hAnsi="Arial"/>
                <w:sz w:val="18"/>
                <w:szCs w:val="18"/>
                <w:color w:val="2B4C9B"/>
              </w:rPr>
              <w:t>F-44</w:t>
            </w:r>
          </w:p>
        </w:tc>
      </w:tr>
    </w:tbl>
    <w:p>
      <w:pPr>
        <w:sectPr>
          <w:pgSz w:w="11900" w:h="16838" w:orient="portrait"/>
          <w:cols w:equalWidth="0" w:num="1">
            <w:col w:w="11400"/>
          </w:cols>
          <w:pgMar w:left="240" w:top="490" w:right="2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80" w:type="dxa"/>
            <w:vAlign w:val="bottom"/>
            <w:gridSpan w:val="27"/>
          </w:tcPr>
          <w:p>
            <w:pPr>
              <w:jc w:val="center"/>
              <w:ind w:right="300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900" w:type="dxa"/>
            <w:vAlign w:val="bottom"/>
            <w:tcBorders>
              <w:bottom w:val="single" w:sz="8" w:color="auto"/>
            </w:tcBorders>
            <w:gridSpan w:val="24"/>
          </w:tcPr>
          <w:p>
            <w:pPr>
              <w:jc w:val="center"/>
              <w:ind w:right="448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4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2B4C9B"/>
              </w:rPr>
              <w:t>Exhibit</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80" w:type="dxa"/>
            <w:vAlign w:val="bottom"/>
            <w:tcBorders>
              <w:bottom w:val="single" w:sz="8" w:color="2B4C9B"/>
            </w:tcBorders>
            <w:gridSpan w:val="4"/>
          </w:tcPr>
          <w:p>
            <w:pPr>
              <w:spacing w:after="0"/>
              <w:rPr>
                <w:sz w:val="20"/>
                <w:szCs w:val="20"/>
                <w:color w:val="auto"/>
              </w:rPr>
            </w:pPr>
            <w:r>
              <w:rPr>
                <w:rFonts w:ascii="Arial" w:cs="Arial" w:eastAsia="Arial" w:hAnsi="Arial"/>
                <w:sz w:val="18"/>
                <w:szCs w:val="18"/>
                <w:b w:val="1"/>
                <w:bCs w:val="1"/>
                <w:color w:val="2B4C9B"/>
              </w:rPr>
              <w:t>Number</w:t>
            </w:r>
          </w:p>
        </w:tc>
        <w:tc>
          <w:tcPr>
            <w:tcW w:w="460" w:type="dxa"/>
            <w:vAlign w:val="bottom"/>
            <w:tcBorders>
              <w:bottom w:val="single" w:sz="8" w:color="2B4C9B"/>
            </w:tcBorders>
          </w:tcPr>
          <w:p>
            <w:pPr>
              <w:spacing w:after="0"/>
              <w:rPr>
                <w:sz w:val="21"/>
                <w:szCs w:val="21"/>
                <w:color w:val="auto"/>
              </w:rPr>
            </w:pPr>
          </w:p>
        </w:tc>
        <w:tc>
          <w:tcPr>
            <w:tcW w:w="600" w:type="dxa"/>
            <w:vAlign w:val="bottom"/>
            <w:tcBorders>
              <w:bottom w:val="single" w:sz="8" w:color="2B4C9B"/>
            </w:tcBorders>
          </w:tcPr>
          <w:p>
            <w:pPr>
              <w:spacing w:after="0"/>
              <w:rPr>
                <w:sz w:val="21"/>
                <w:szCs w:val="21"/>
                <w:color w:val="auto"/>
              </w:rPr>
            </w:pPr>
          </w:p>
        </w:tc>
        <w:tc>
          <w:tcPr>
            <w:tcW w:w="440" w:type="dxa"/>
            <w:vAlign w:val="bottom"/>
            <w:tcBorders>
              <w:bottom w:val="single" w:sz="8" w:color="2B4C9B"/>
            </w:tcBorders>
          </w:tcPr>
          <w:p>
            <w:pPr>
              <w:spacing w:after="0"/>
              <w:rPr>
                <w:sz w:val="21"/>
                <w:szCs w:val="21"/>
                <w:color w:val="auto"/>
              </w:rPr>
            </w:pPr>
          </w:p>
        </w:tc>
        <w:tc>
          <w:tcPr>
            <w:tcW w:w="240" w:type="dxa"/>
            <w:vAlign w:val="bottom"/>
            <w:tcBorders>
              <w:bottom w:val="single" w:sz="8" w:color="2B4C9B"/>
            </w:tcBorders>
          </w:tcPr>
          <w:p>
            <w:pPr>
              <w:spacing w:after="0"/>
              <w:rPr>
                <w:sz w:val="21"/>
                <w:szCs w:val="21"/>
                <w:color w:val="auto"/>
              </w:rPr>
            </w:pPr>
          </w:p>
        </w:tc>
        <w:tc>
          <w:tcPr>
            <w:tcW w:w="100" w:type="dxa"/>
            <w:vAlign w:val="bottom"/>
            <w:tcBorders>
              <w:bottom w:val="single" w:sz="8" w:color="2B4C9B"/>
            </w:tcBorders>
          </w:tcPr>
          <w:p>
            <w:pPr>
              <w:spacing w:after="0"/>
              <w:rPr>
                <w:sz w:val="21"/>
                <w:szCs w:val="21"/>
                <w:color w:val="auto"/>
              </w:rPr>
            </w:pPr>
          </w:p>
        </w:tc>
        <w:tc>
          <w:tcPr>
            <w:tcW w:w="1140" w:type="dxa"/>
            <w:vAlign w:val="bottom"/>
            <w:tcBorders>
              <w:bottom w:val="single" w:sz="8" w:color="2B4C9B"/>
            </w:tcBorders>
          </w:tcPr>
          <w:p>
            <w:pPr>
              <w:spacing w:after="0"/>
              <w:rPr>
                <w:sz w:val="21"/>
                <w:szCs w:val="21"/>
                <w:color w:val="auto"/>
              </w:rPr>
            </w:pPr>
          </w:p>
        </w:tc>
        <w:tc>
          <w:tcPr>
            <w:tcW w:w="6900" w:type="dxa"/>
            <w:vAlign w:val="bottom"/>
            <w:tcBorders>
              <w:bottom w:val="single" w:sz="8" w:color="2B4C9B"/>
            </w:tcBorders>
            <w:gridSpan w:val="24"/>
          </w:tcPr>
          <w:p>
            <w:pPr>
              <w:ind w:left="1020"/>
              <w:spacing w:after="0"/>
              <w:rPr>
                <w:sz w:val="20"/>
                <w:szCs w:val="20"/>
                <w:color w:val="auto"/>
              </w:rPr>
            </w:pPr>
            <w:r>
              <w:rPr>
                <w:rFonts w:ascii="Arial" w:cs="Arial" w:eastAsia="Arial" w:hAnsi="Arial"/>
                <w:sz w:val="18"/>
                <w:szCs w:val="18"/>
                <w:b w:val="1"/>
                <w:bCs w:val="1"/>
                <w:color w:val="2B4C9B"/>
              </w:rPr>
              <w:t>Description of Exhibit</w:t>
            </w:r>
          </w:p>
        </w:tc>
      </w:tr>
      <w:tr>
        <w:trPr>
          <w:trHeight w:val="540"/>
        </w:trPr>
        <w:tc>
          <w:tcPr>
            <w:tcW w:w="460" w:type="dxa"/>
            <w:vAlign w:val="bottom"/>
            <w:gridSpan w:val="2"/>
          </w:tcPr>
          <w:p>
            <w:pPr>
              <w:ind w:left="40"/>
              <w:spacing w:after="0"/>
              <w:rPr>
                <w:rFonts w:ascii="Arial" w:cs="Arial" w:eastAsia="Arial" w:hAnsi="Arial"/>
                <w:sz w:val="18"/>
                <w:szCs w:val="18"/>
                <w:color w:val="2B4C9B"/>
                <w:w w:val="95"/>
              </w:rPr>
            </w:pPr>
            <w:hyperlink r:id="rId126">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9*</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gridSpan w:val="30"/>
          </w:tcPr>
          <w:p>
            <w:pPr>
              <w:spacing w:after="0"/>
              <w:rPr>
                <w:rFonts w:ascii="Arial" w:cs="Arial" w:eastAsia="Arial" w:hAnsi="Arial"/>
                <w:sz w:val="18"/>
                <w:szCs w:val="18"/>
                <w:color w:val="2B4C9B"/>
              </w:rPr>
            </w:pPr>
            <w:hyperlink r:id="rId126">
              <w:r>
                <w:rPr>
                  <w:rFonts w:ascii="Arial" w:cs="Arial" w:eastAsia="Arial" w:hAnsi="Arial"/>
                  <w:sz w:val="18"/>
                  <w:szCs w:val="18"/>
                  <w:color w:val="2B4C9B"/>
                </w:rPr>
                <w:t>Science Applications International Corporation 401(k) Excess Deferral Plan, effective September 27, 2013. Incorporated by</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780" w:type="dxa"/>
            <w:vAlign w:val="bottom"/>
            <w:tcBorders>
              <w:top w:val="single" w:sz="8" w:color="2B4C9B"/>
            </w:tcBorders>
            <w:gridSpan w:val="28"/>
          </w:tcPr>
          <w:p>
            <w:pPr>
              <w:spacing w:after="0" w:line="182" w:lineRule="exact"/>
              <w:rPr>
                <w:rFonts w:ascii="Arial" w:cs="Arial" w:eastAsia="Arial" w:hAnsi="Arial"/>
                <w:sz w:val="18"/>
                <w:szCs w:val="18"/>
                <w:color w:val="2B4C9B"/>
              </w:rPr>
            </w:pPr>
            <w:hyperlink r:id="rId126">
              <w:r>
                <w:rPr>
                  <w:rFonts w:ascii="Arial" w:cs="Arial" w:eastAsia="Arial" w:hAnsi="Arial"/>
                  <w:sz w:val="18"/>
                  <w:szCs w:val="18"/>
                  <w:color w:val="2B4C9B"/>
                </w:rPr>
                <w:t>reference to Exhibit 4.8 to the Company’s Registration Statement on Form S-8 as filed with the SEC on September 27,</w:t>
              </w:r>
            </w:hyperlink>
          </w:p>
        </w:tc>
        <w:tc>
          <w:tcPr>
            <w:tcW w:w="10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Borders>
              <w:top w:val="single" w:sz="8" w:color="2B4C9B"/>
              <w:bottom w:val="single" w:sz="8" w:color="2B4C9B"/>
            </w:tcBorders>
          </w:tcPr>
          <w:p>
            <w:pPr>
              <w:spacing w:after="0" w:line="182" w:lineRule="exact"/>
              <w:rPr>
                <w:rFonts w:ascii="Arial" w:cs="Arial" w:eastAsia="Arial" w:hAnsi="Arial"/>
                <w:sz w:val="18"/>
                <w:szCs w:val="18"/>
                <w:color w:val="2B4C9B"/>
                <w:w w:val="97"/>
              </w:rPr>
            </w:pPr>
            <w:hyperlink r:id="rId126">
              <w:r>
                <w:rPr>
                  <w:rFonts w:ascii="Arial" w:cs="Arial" w:eastAsia="Arial" w:hAnsi="Arial"/>
                  <w:sz w:val="18"/>
                  <w:szCs w:val="18"/>
                  <w:color w:val="2B4C9B"/>
                  <w:w w:val="97"/>
                </w:rPr>
                <w:t>2013.</w:t>
              </w:r>
            </w:hyperlink>
          </w:p>
        </w:tc>
        <w:tc>
          <w:tcPr>
            <w:tcW w:w="600" w:type="dxa"/>
            <w:vAlign w:val="bottom"/>
            <w:tcBorders>
              <w:top w:val="single" w:sz="8" w:color="2B4C9B"/>
            </w:tcBorders>
          </w:tcPr>
          <w:p>
            <w:pPr>
              <w:spacing w:after="0"/>
              <w:rPr>
                <w:sz w:val="15"/>
                <w:szCs w:val="15"/>
                <w:color w:val="auto"/>
              </w:rPr>
            </w:pPr>
          </w:p>
        </w:tc>
        <w:tc>
          <w:tcPr>
            <w:tcW w:w="440" w:type="dxa"/>
            <w:vAlign w:val="bottom"/>
            <w:tcBorders>
              <w:top w:val="single" w:sz="8" w:color="2B4C9B"/>
            </w:tcBorders>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140" w:type="dxa"/>
            <w:vAlign w:val="bottom"/>
            <w:tcBorders>
              <w:top w:val="single" w:sz="8" w:color="2B4C9B"/>
            </w:tcBorders>
          </w:tcPr>
          <w:p>
            <w:pPr>
              <w:spacing w:after="0"/>
              <w:rPr>
                <w:sz w:val="15"/>
                <w:szCs w:val="15"/>
                <w:color w:val="auto"/>
              </w:rPr>
            </w:pPr>
          </w:p>
        </w:tc>
        <w:tc>
          <w:tcPr>
            <w:tcW w:w="1120" w:type="dxa"/>
            <w:vAlign w:val="bottom"/>
            <w:tcBorders>
              <w:top w:val="single" w:sz="8" w:color="2B4C9B"/>
            </w:tcBorders>
          </w:tcPr>
          <w:p>
            <w:pPr>
              <w:spacing w:after="0"/>
              <w:rPr>
                <w:sz w:val="15"/>
                <w:szCs w:val="15"/>
                <w:color w:val="auto"/>
              </w:rPr>
            </w:pPr>
          </w:p>
        </w:tc>
        <w:tc>
          <w:tcPr>
            <w:tcW w:w="1260" w:type="dxa"/>
            <w:vAlign w:val="bottom"/>
            <w:tcBorders>
              <w:top w:val="single" w:sz="8" w:color="2B4C9B"/>
            </w:tcBorders>
          </w:tcPr>
          <w:p>
            <w:pPr>
              <w:spacing w:after="0"/>
              <w:rPr>
                <w:sz w:val="15"/>
                <w:szCs w:val="15"/>
                <w:color w:val="auto"/>
              </w:rPr>
            </w:pPr>
          </w:p>
        </w:tc>
        <w:tc>
          <w:tcPr>
            <w:tcW w:w="260" w:type="dxa"/>
            <w:vAlign w:val="bottom"/>
            <w:tcBorders>
              <w:top w:val="single" w:sz="8" w:color="2B4C9B"/>
            </w:tcBorders>
          </w:tcPr>
          <w:p>
            <w:pPr>
              <w:spacing w:after="0"/>
              <w:rPr>
                <w:sz w:val="15"/>
                <w:szCs w:val="15"/>
                <w:color w:val="auto"/>
              </w:rPr>
            </w:pPr>
          </w:p>
        </w:tc>
        <w:tc>
          <w:tcPr>
            <w:tcW w:w="1940" w:type="dxa"/>
            <w:vAlign w:val="bottom"/>
            <w:tcBorders>
              <w:top w:val="single" w:sz="8" w:color="2B4C9B"/>
            </w:tcBorders>
          </w:tcPr>
          <w:p>
            <w:pPr>
              <w:spacing w:after="0"/>
              <w:rPr>
                <w:sz w:val="15"/>
                <w:szCs w:val="15"/>
                <w:color w:val="auto"/>
              </w:rPr>
            </w:pPr>
          </w:p>
        </w:tc>
        <w:tc>
          <w:tcPr>
            <w:tcW w:w="13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6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8"/>
        </w:trPr>
        <w:tc>
          <w:tcPr>
            <w:tcW w:w="1520" w:type="dxa"/>
            <w:vAlign w:val="bottom"/>
            <w:gridSpan w:val="5"/>
          </w:tcPr>
          <w:p>
            <w:pPr>
              <w:ind w:left="40"/>
              <w:spacing w:after="0"/>
              <w:rPr>
                <w:rFonts w:ascii="Arial" w:cs="Arial" w:eastAsia="Arial" w:hAnsi="Arial"/>
                <w:sz w:val="18"/>
                <w:szCs w:val="18"/>
                <w:color w:val="2B4C9B"/>
              </w:rPr>
            </w:pPr>
            <w:hyperlink r:id="rId127">
              <w:r>
                <w:rPr>
                  <w:rFonts w:ascii="Arial" w:cs="Arial" w:eastAsia="Arial" w:hAnsi="Arial"/>
                  <w:sz w:val="18"/>
                  <w:szCs w:val="18"/>
                  <w:color w:val="2B4C9B"/>
                </w:rPr>
                <w:t>10.</w:t>
              </w:r>
              <w:r>
                <w:rPr>
                  <w:rFonts w:ascii="Arial" w:cs="Arial" w:eastAsia="Arial" w:hAnsi="Arial"/>
                  <w:sz w:val="18"/>
                  <w:szCs w:val="18"/>
                  <w:u w:val="single" w:color="auto"/>
                  <w:color w:val="2B4C9B"/>
                </w:rPr>
                <w:t>10*</w:t>
              </w:r>
            </w:hyperlink>
          </w:p>
        </w:tc>
        <w:tc>
          <w:tcPr>
            <w:tcW w:w="9880" w:type="dxa"/>
            <w:vAlign w:val="bottom"/>
            <w:gridSpan w:val="30"/>
          </w:tcPr>
          <w:p>
            <w:pPr>
              <w:spacing w:after="0"/>
              <w:rPr>
                <w:rFonts w:ascii="Arial" w:cs="Arial" w:eastAsia="Arial" w:hAnsi="Arial"/>
                <w:sz w:val="18"/>
                <w:szCs w:val="18"/>
                <w:color w:val="2B4C9B"/>
              </w:rPr>
            </w:pPr>
            <w:hyperlink r:id="rId127">
              <w:r>
                <w:rPr>
                  <w:rFonts w:ascii="Arial" w:cs="Arial" w:eastAsia="Arial" w:hAnsi="Arial"/>
                  <w:sz w:val="18"/>
                  <w:szCs w:val="18"/>
                  <w:color w:val="2B4C9B"/>
                </w:rPr>
                <w:t>Science Applications International Corporation Retirement Plan, effective September 27, 2013. Incorporated by reference to</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8920" w:type="dxa"/>
            <w:vAlign w:val="bottom"/>
            <w:tcBorders>
              <w:top w:val="single" w:sz="8" w:color="2B4C9B"/>
              <w:bottom w:val="single" w:sz="8" w:color="2B4C9B"/>
            </w:tcBorders>
            <w:gridSpan w:val="12"/>
          </w:tcPr>
          <w:p>
            <w:pPr>
              <w:spacing w:after="0" w:line="182" w:lineRule="exact"/>
              <w:rPr>
                <w:rFonts w:ascii="Arial" w:cs="Arial" w:eastAsia="Arial" w:hAnsi="Arial"/>
                <w:sz w:val="18"/>
                <w:szCs w:val="18"/>
                <w:color w:val="2B4C9B"/>
                <w:w w:val="99"/>
              </w:rPr>
            </w:pPr>
            <w:hyperlink r:id="rId127">
              <w:r>
                <w:rPr>
                  <w:rFonts w:ascii="Arial" w:cs="Arial" w:eastAsia="Arial" w:hAnsi="Arial"/>
                  <w:sz w:val="18"/>
                  <w:szCs w:val="18"/>
                  <w:color w:val="2B4C9B"/>
                  <w:w w:val="99"/>
                </w:rPr>
                <w:t>Exhibit 4.9 to the Company’s Registration Statement on Form S-8 as filed with the SEC on September 27, 2013.</w:t>
              </w:r>
            </w:hyperlink>
          </w:p>
        </w:tc>
        <w:tc>
          <w:tcPr>
            <w:tcW w:w="920" w:type="dxa"/>
            <w:vAlign w:val="bottom"/>
            <w:tcBorders>
              <w:top w:val="single" w:sz="8" w:color="2B4C9B"/>
            </w:tcBorders>
            <w:gridSpan w:val="17"/>
          </w:tcPr>
          <w:p>
            <w:pPr>
              <w:spacing w:after="0"/>
              <w:rPr>
                <w:sz w:val="15"/>
                <w:szCs w:val="15"/>
                <w:color w:val="auto"/>
              </w:rPr>
            </w:pPr>
          </w:p>
        </w:tc>
        <w:tc>
          <w:tcPr>
            <w:tcW w:w="40" w:type="dxa"/>
            <w:vAlign w:val="bottom"/>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28">
              <w:r>
                <w:rPr>
                  <w:rFonts w:ascii="Arial" w:cs="Arial" w:eastAsia="Arial" w:hAnsi="Arial"/>
                  <w:sz w:val="18"/>
                  <w:szCs w:val="18"/>
                  <w:color w:val="2B4C9B"/>
                </w:rPr>
                <w:t>10.</w:t>
              </w:r>
              <w:r>
                <w:rPr>
                  <w:rFonts w:ascii="Arial" w:cs="Arial" w:eastAsia="Arial" w:hAnsi="Arial"/>
                  <w:sz w:val="18"/>
                  <w:szCs w:val="18"/>
                  <w:u w:val="single" w:color="auto"/>
                  <w:color w:val="2B4C9B"/>
                </w:rPr>
                <w:t>11*</w:t>
              </w:r>
            </w:hyperlink>
          </w:p>
        </w:tc>
        <w:tc>
          <w:tcPr>
            <w:tcW w:w="9880" w:type="dxa"/>
            <w:vAlign w:val="bottom"/>
            <w:gridSpan w:val="30"/>
          </w:tcPr>
          <w:p>
            <w:pPr>
              <w:spacing w:after="0"/>
              <w:rPr>
                <w:rFonts w:ascii="Arial" w:cs="Arial" w:eastAsia="Arial" w:hAnsi="Arial"/>
                <w:sz w:val="18"/>
                <w:szCs w:val="18"/>
                <w:color w:val="2B4C9B"/>
              </w:rPr>
            </w:pPr>
            <w:hyperlink r:id="rId128">
              <w:r>
                <w:rPr>
                  <w:rFonts w:ascii="Arial" w:cs="Arial" w:eastAsia="Arial" w:hAnsi="Arial"/>
                  <w:sz w:val="18"/>
                  <w:szCs w:val="18"/>
                  <w:color w:val="2B4C9B"/>
                </w:rPr>
                <w:t>Science Applications International Corporation Amended and Restated 2013 Equity Incentive Plan, effective June 4, 2014.</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740" w:type="dxa"/>
            <w:vAlign w:val="bottom"/>
            <w:tcBorders>
              <w:top w:val="single" w:sz="8" w:color="2B4C9B"/>
            </w:tcBorders>
            <w:gridSpan w:val="26"/>
          </w:tcPr>
          <w:p>
            <w:pPr>
              <w:spacing w:after="0" w:line="182" w:lineRule="exact"/>
              <w:rPr>
                <w:rFonts w:ascii="Arial" w:cs="Arial" w:eastAsia="Arial" w:hAnsi="Arial"/>
                <w:sz w:val="18"/>
                <w:szCs w:val="18"/>
                <w:color w:val="2B4C9B"/>
              </w:rPr>
            </w:pPr>
            <w:hyperlink r:id="rId128">
              <w:r>
                <w:rPr>
                  <w:rFonts w:ascii="Arial" w:cs="Arial" w:eastAsia="Arial" w:hAnsi="Arial"/>
                  <w:sz w:val="18"/>
                  <w:szCs w:val="18"/>
                  <w:color w:val="2B4C9B"/>
                </w:rPr>
                <w:t>Incorporated by reference to Appendix A to the Company’s Definitive Proxy Statement on Schedule 14A as filed with the</w:t>
              </w:r>
            </w:hyperlink>
          </w:p>
        </w:tc>
        <w:tc>
          <w:tcPr>
            <w:tcW w:w="14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40" w:type="dxa"/>
            <w:vAlign w:val="bottom"/>
            <w:tcBorders>
              <w:top w:val="single" w:sz="8" w:color="2B4C9B"/>
              <w:bottom w:val="single" w:sz="8" w:color="2B4C9B"/>
            </w:tcBorders>
            <w:gridSpan w:val="5"/>
          </w:tcPr>
          <w:p>
            <w:pPr>
              <w:spacing w:after="0" w:line="182" w:lineRule="exact"/>
              <w:rPr>
                <w:rFonts w:ascii="Arial" w:cs="Arial" w:eastAsia="Arial" w:hAnsi="Arial"/>
                <w:sz w:val="18"/>
                <w:szCs w:val="18"/>
                <w:color w:val="2B4C9B"/>
                <w:w w:val="99"/>
              </w:rPr>
            </w:pPr>
            <w:hyperlink r:id="rId128">
              <w:r>
                <w:rPr>
                  <w:rFonts w:ascii="Arial" w:cs="Arial" w:eastAsia="Arial" w:hAnsi="Arial"/>
                  <w:sz w:val="18"/>
                  <w:szCs w:val="18"/>
                  <w:color w:val="2B4C9B"/>
                  <w:w w:val="99"/>
                </w:rPr>
                <w:t>SEC on April 24, 2014.</w:t>
              </w:r>
            </w:hyperlink>
          </w:p>
        </w:tc>
        <w:tc>
          <w:tcPr>
            <w:tcW w:w="7720" w:type="dxa"/>
            <w:vAlign w:val="bottom"/>
            <w:tcBorders>
              <w:top w:val="single" w:sz="8" w:color="2B4C9B"/>
            </w:tcBorders>
            <w:gridSpan w:val="15"/>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29">
              <w:r>
                <w:rPr>
                  <w:rFonts w:ascii="Arial" w:cs="Arial" w:eastAsia="Arial" w:hAnsi="Arial"/>
                  <w:sz w:val="18"/>
                  <w:szCs w:val="18"/>
                  <w:color w:val="2B4C9B"/>
                </w:rPr>
                <w:t>10.</w:t>
              </w:r>
              <w:r>
                <w:rPr>
                  <w:rFonts w:ascii="Arial" w:cs="Arial" w:eastAsia="Arial" w:hAnsi="Arial"/>
                  <w:sz w:val="18"/>
                  <w:szCs w:val="18"/>
                  <w:u w:val="single" w:color="auto"/>
                  <w:color w:val="2B4C9B"/>
                </w:rPr>
                <w:t>12*</w:t>
              </w:r>
            </w:hyperlink>
          </w:p>
        </w:tc>
        <w:tc>
          <w:tcPr>
            <w:tcW w:w="9880" w:type="dxa"/>
            <w:vAlign w:val="bottom"/>
            <w:gridSpan w:val="30"/>
          </w:tcPr>
          <w:p>
            <w:pPr>
              <w:spacing w:after="0"/>
              <w:rPr>
                <w:rFonts w:ascii="Arial" w:cs="Arial" w:eastAsia="Arial" w:hAnsi="Arial"/>
                <w:sz w:val="18"/>
                <w:szCs w:val="18"/>
                <w:color w:val="2B4C9B"/>
              </w:rPr>
            </w:pPr>
            <w:hyperlink r:id="rId129">
              <w:r>
                <w:rPr>
                  <w:rFonts w:ascii="Arial" w:cs="Arial" w:eastAsia="Arial" w:hAnsi="Arial"/>
                  <w:sz w:val="18"/>
                  <w:szCs w:val="18"/>
                  <w:color w:val="2B4C9B"/>
                </w:rPr>
                <w:t>Form of Restricted Stock Unit Award Agreement (Management) of the Science Applications International Corporation 2013</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660" w:type="dxa"/>
            <w:vAlign w:val="bottom"/>
            <w:tcBorders>
              <w:top w:val="single" w:sz="8" w:color="2B4C9B"/>
              <w:bottom w:val="single" w:sz="8" w:color="2B4C9B"/>
            </w:tcBorders>
            <w:gridSpan w:val="23"/>
          </w:tcPr>
          <w:p>
            <w:pPr>
              <w:spacing w:after="0" w:line="182" w:lineRule="exact"/>
              <w:rPr>
                <w:rFonts w:ascii="Arial" w:cs="Arial" w:eastAsia="Arial" w:hAnsi="Arial"/>
                <w:sz w:val="18"/>
                <w:szCs w:val="18"/>
                <w:color w:val="2B4C9B"/>
                <w:w w:val="99"/>
              </w:rPr>
            </w:pPr>
            <w:hyperlink r:id="rId129">
              <w:r>
                <w:rPr>
                  <w:rFonts w:ascii="Arial" w:cs="Arial" w:eastAsia="Arial" w:hAnsi="Arial"/>
                  <w:sz w:val="18"/>
                  <w:szCs w:val="18"/>
                  <w:color w:val="2B4C9B"/>
                  <w:w w:val="99"/>
                </w:rPr>
                <w:t>Equity Incentive Plan. Incorporated by reference to Exhibit 10.2 to the Company’s Quarterly Report on Form 10-Q as filed</w:t>
              </w:r>
            </w:hyperlink>
          </w:p>
        </w:tc>
        <w:tc>
          <w:tcPr>
            <w:tcW w:w="100" w:type="dxa"/>
            <w:vAlign w:val="bottom"/>
            <w:tcBorders>
              <w:top w:val="single" w:sz="8" w:color="2B4C9B"/>
            </w:tcBorders>
            <w:gridSpan w:val="4"/>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80" w:type="dxa"/>
            <w:vAlign w:val="bottom"/>
            <w:tcBorders>
              <w:bottom w:val="single" w:sz="8" w:color="2B4C9B"/>
            </w:tcBorders>
            <w:gridSpan w:val="6"/>
          </w:tcPr>
          <w:p>
            <w:pPr>
              <w:spacing w:after="0" w:line="182" w:lineRule="exact"/>
              <w:rPr>
                <w:rFonts w:ascii="Arial" w:cs="Arial" w:eastAsia="Arial" w:hAnsi="Arial"/>
                <w:sz w:val="18"/>
                <w:szCs w:val="18"/>
                <w:color w:val="2B4C9B"/>
                <w:w w:val="99"/>
              </w:rPr>
            </w:pPr>
            <w:hyperlink r:id="rId129">
              <w:r>
                <w:rPr>
                  <w:rFonts w:ascii="Arial" w:cs="Arial" w:eastAsia="Arial" w:hAnsi="Arial"/>
                  <w:sz w:val="18"/>
                  <w:szCs w:val="18"/>
                  <w:color w:val="2B4C9B"/>
                  <w:w w:val="99"/>
                </w:rPr>
                <w:t>with the SEC on December 13, 2013.</w:t>
              </w:r>
            </w:hyperlink>
          </w:p>
        </w:tc>
        <w:tc>
          <w:tcPr>
            <w:tcW w:w="6900" w:type="dxa"/>
            <w:vAlign w:val="bottom"/>
            <w:gridSpan w:val="24"/>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30">
              <w:r>
                <w:rPr>
                  <w:rFonts w:ascii="Arial" w:cs="Arial" w:eastAsia="Arial" w:hAnsi="Arial"/>
                  <w:sz w:val="18"/>
                  <w:szCs w:val="18"/>
                  <w:color w:val="2B4C9B"/>
                </w:rPr>
                <w:t>10.</w:t>
              </w:r>
              <w:r>
                <w:rPr>
                  <w:rFonts w:ascii="Arial" w:cs="Arial" w:eastAsia="Arial" w:hAnsi="Arial"/>
                  <w:sz w:val="18"/>
                  <w:szCs w:val="18"/>
                  <w:u w:val="single" w:color="auto"/>
                  <w:color w:val="2B4C9B"/>
                </w:rPr>
                <w:t>13*</w:t>
              </w:r>
            </w:hyperlink>
          </w:p>
        </w:tc>
        <w:tc>
          <w:tcPr>
            <w:tcW w:w="9880" w:type="dxa"/>
            <w:vAlign w:val="bottom"/>
            <w:gridSpan w:val="30"/>
          </w:tcPr>
          <w:p>
            <w:pPr>
              <w:spacing w:after="0"/>
              <w:rPr>
                <w:rFonts w:ascii="Arial" w:cs="Arial" w:eastAsia="Arial" w:hAnsi="Arial"/>
                <w:sz w:val="18"/>
                <w:szCs w:val="18"/>
                <w:color w:val="2B4C9B"/>
              </w:rPr>
            </w:pPr>
            <w:hyperlink r:id="rId130">
              <w:r>
                <w:rPr>
                  <w:rFonts w:ascii="Arial" w:cs="Arial" w:eastAsia="Arial" w:hAnsi="Arial"/>
                  <w:sz w:val="18"/>
                  <w:szCs w:val="18"/>
                  <w:color w:val="2B4C9B"/>
                </w:rPr>
                <w:t>Form of Restricted Stock Unit Award Agreement of the Science Applications International Corporation 2013 Equity</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2"/>
            <w:shd w:val="clear" w:color="auto" w:fill="2B4C9B"/>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360" w:type="dxa"/>
            <w:vAlign w:val="bottom"/>
            <w:gridSpan w:val="3"/>
            <w:shd w:val="clear" w:color="auto" w:fill="2B4C9B"/>
          </w:tcPr>
          <w:p>
            <w:pPr>
              <w:spacing w:after="0" w:line="20" w:lineRule="exact"/>
              <w:rPr>
                <w:sz w:val="1"/>
                <w:szCs w:val="1"/>
                <w:color w:val="auto"/>
              </w:rPr>
            </w:pPr>
          </w:p>
        </w:tc>
        <w:tc>
          <w:tcPr>
            <w:tcW w:w="1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940" w:type="dxa"/>
            <w:vAlign w:val="bottom"/>
            <w:shd w:val="clear" w:color="auto" w:fill="2B4C9B"/>
          </w:tcPr>
          <w:p>
            <w:pPr>
              <w:spacing w:after="0" w:line="20" w:lineRule="exact"/>
              <w:rPr>
                <w:sz w:val="1"/>
                <w:szCs w:val="1"/>
                <w:color w:val="auto"/>
              </w:rPr>
            </w:pPr>
          </w:p>
        </w:tc>
        <w:tc>
          <w:tcPr>
            <w:tcW w:w="1320" w:type="dxa"/>
            <w:vAlign w:val="bottom"/>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80" w:type="dxa"/>
            <w:vAlign w:val="bottom"/>
            <w:tcBorders>
              <w:bottom w:val="single" w:sz="8" w:color="2B4C9B"/>
            </w:tcBorders>
            <w:gridSpan w:val="24"/>
          </w:tcPr>
          <w:p>
            <w:pPr>
              <w:spacing w:after="0" w:line="182" w:lineRule="exact"/>
              <w:rPr>
                <w:rFonts w:ascii="Arial" w:cs="Arial" w:eastAsia="Arial" w:hAnsi="Arial"/>
                <w:sz w:val="18"/>
                <w:szCs w:val="18"/>
                <w:color w:val="2B4C9B"/>
                <w:w w:val="99"/>
              </w:rPr>
            </w:pPr>
            <w:hyperlink r:id="rId130">
              <w:r>
                <w:rPr>
                  <w:rFonts w:ascii="Arial" w:cs="Arial" w:eastAsia="Arial" w:hAnsi="Arial"/>
                  <w:sz w:val="18"/>
                  <w:szCs w:val="18"/>
                  <w:color w:val="2B4C9B"/>
                  <w:w w:val="99"/>
                </w:rPr>
                <w:t>Incentive Plan. Incorporated by reference to Exhibit 10.12 to the Company’s Annual Report on Form 10-K as filed with the</w:t>
              </w:r>
            </w:hyperlink>
          </w:p>
        </w:tc>
        <w:tc>
          <w:tcPr>
            <w:tcW w:w="20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Borders>
              <w:bottom w:val="single" w:sz="8" w:color="2B4C9B"/>
            </w:tcBorders>
            <w:gridSpan w:val="4"/>
          </w:tcPr>
          <w:p>
            <w:pPr>
              <w:spacing w:after="0" w:line="182" w:lineRule="exact"/>
              <w:rPr>
                <w:rFonts w:ascii="Arial" w:cs="Arial" w:eastAsia="Arial" w:hAnsi="Arial"/>
                <w:sz w:val="18"/>
                <w:szCs w:val="18"/>
                <w:color w:val="2B4C9B"/>
                <w:w w:val="99"/>
              </w:rPr>
            </w:pPr>
            <w:hyperlink r:id="rId130">
              <w:r>
                <w:rPr>
                  <w:rFonts w:ascii="Arial" w:cs="Arial" w:eastAsia="Arial" w:hAnsi="Arial"/>
                  <w:sz w:val="18"/>
                  <w:szCs w:val="18"/>
                  <w:color w:val="2B4C9B"/>
                  <w:w w:val="99"/>
                </w:rPr>
                <w:t>SEC on April 9, 2014.</w:t>
              </w:r>
            </w:hyperlink>
          </w:p>
        </w:tc>
        <w:tc>
          <w:tcPr>
            <w:tcW w:w="8140" w:type="dxa"/>
            <w:vAlign w:val="bottom"/>
            <w:gridSpan w:val="26"/>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31">
              <w:r>
                <w:rPr>
                  <w:rFonts w:ascii="Arial" w:cs="Arial" w:eastAsia="Arial" w:hAnsi="Arial"/>
                  <w:sz w:val="18"/>
                  <w:szCs w:val="18"/>
                  <w:color w:val="2B4C9B"/>
                </w:rPr>
                <w:t>10.</w:t>
              </w:r>
              <w:r>
                <w:rPr>
                  <w:rFonts w:ascii="Arial" w:cs="Arial" w:eastAsia="Arial" w:hAnsi="Arial"/>
                  <w:sz w:val="18"/>
                  <w:szCs w:val="18"/>
                  <w:u w:val="single" w:color="auto"/>
                  <w:color w:val="2B4C9B"/>
                </w:rPr>
                <w:t>14*</w:t>
              </w:r>
            </w:hyperlink>
          </w:p>
        </w:tc>
        <w:tc>
          <w:tcPr>
            <w:tcW w:w="9880" w:type="dxa"/>
            <w:vAlign w:val="bottom"/>
            <w:gridSpan w:val="30"/>
          </w:tcPr>
          <w:p>
            <w:pPr>
              <w:spacing w:after="0"/>
              <w:rPr>
                <w:rFonts w:ascii="Arial" w:cs="Arial" w:eastAsia="Arial" w:hAnsi="Arial"/>
                <w:sz w:val="18"/>
                <w:szCs w:val="18"/>
                <w:color w:val="2B4C9B"/>
              </w:rPr>
            </w:pPr>
            <w:hyperlink r:id="rId131">
              <w:r>
                <w:rPr>
                  <w:rFonts w:ascii="Arial" w:cs="Arial" w:eastAsia="Arial" w:hAnsi="Arial"/>
                  <w:sz w:val="18"/>
                  <w:szCs w:val="18"/>
                  <w:color w:val="2B4C9B"/>
                </w:rPr>
                <w:t>Form of Nonstatutory Stock Option Agreement of the Science Applications International Corporation 2013 Equity Incentive</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580" w:type="dxa"/>
            <w:vAlign w:val="bottom"/>
            <w:tcBorders>
              <w:top w:val="single" w:sz="8" w:color="2B4C9B"/>
              <w:bottom w:val="single" w:sz="8" w:color="2B4C9B"/>
            </w:tcBorders>
            <w:gridSpan w:val="21"/>
          </w:tcPr>
          <w:p>
            <w:pPr>
              <w:spacing w:after="0" w:line="182" w:lineRule="exact"/>
              <w:rPr>
                <w:rFonts w:ascii="Arial" w:cs="Arial" w:eastAsia="Arial" w:hAnsi="Arial"/>
                <w:sz w:val="18"/>
                <w:szCs w:val="18"/>
                <w:color w:val="2B4C9B"/>
                <w:w w:val="99"/>
              </w:rPr>
            </w:pPr>
            <w:hyperlink r:id="rId131">
              <w:r>
                <w:rPr>
                  <w:rFonts w:ascii="Arial" w:cs="Arial" w:eastAsia="Arial" w:hAnsi="Arial"/>
                  <w:sz w:val="18"/>
                  <w:szCs w:val="18"/>
                  <w:color w:val="2B4C9B"/>
                  <w:w w:val="99"/>
                </w:rPr>
                <w:t>Plan. Incorporated by reference to Exhibit 10.14 to the Company’s Annual Report on Form 10-K as filed with the SEC on</w:t>
              </w:r>
            </w:hyperlink>
          </w:p>
        </w:tc>
        <w:tc>
          <w:tcPr>
            <w:tcW w:w="140" w:type="dxa"/>
            <w:vAlign w:val="bottom"/>
            <w:tcBorders>
              <w:top w:val="single" w:sz="8" w:color="2B4C9B"/>
            </w:tcBorders>
            <w:gridSpan w:val="4"/>
          </w:tcPr>
          <w:p>
            <w:pPr>
              <w:spacing w:after="0"/>
              <w:rPr>
                <w:sz w:val="15"/>
                <w:szCs w:val="15"/>
                <w:color w:val="auto"/>
              </w:rPr>
            </w:pPr>
          </w:p>
        </w:tc>
        <w:tc>
          <w:tcPr>
            <w:tcW w:w="160" w:type="dxa"/>
            <w:vAlign w:val="bottom"/>
            <w:gridSpan w:val="5"/>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80" w:type="dxa"/>
            <w:vAlign w:val="bottom"/>
            <w:gridSpan w:val="30"/>
          </w:tcPr>
          <w:p>
            <w:pPr>
              <w:spacing w:after="0" w:line="182" w:lineRule="exact"/>
              <w:rPr>
                <w:rFonts w:ascii="Arial" w:cs="Arial" w:eastAsia="Arial" w:hAnsi="Arial"/>
                <w:sz w:val="18"/>
                <w:szCs w:val="18"/>
                <w:color w:val="2B4C9B"/>
              </w:rPr>
            </w:pPr>
            <w:hyperlink r:id="rId131">
              <w:r>
                <w:rPr>
                  <w:rFonts w:ascii="Arial" w:cs="Arial" w:eastAsia="Arial" w:hAnsi="Arial"/>
                  <w:sz w:val="18"/>
                  <w:szCs w:val="18"/>
                  <w:color w:val="2B4C9B"/>
                </w:rPr>
                <w:t>April 9, 2014.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gridSpan w:val="2"/>
            <w:shd w:val="clear" w:color="auto" w:fill="2B4C9B"/>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32">
              <w:r>
                <w:rPr>
                  <w:rFonts w:ascii="Arial" w:cs="Arial" w:eastAsia="Arial" w:hAnsi="Arial"/>
                  <w:sz w:val="18"/>
                  <w:szCs w:val="18"/>
                  <w:color w:val="2B4C9B"/>
                </w:rPr>
                <w:t>10.</w:t>
              </w:r>
              <w:r>
                <w:rPr>
                  <w:rFonts w:ascii="Arial" w:cs="Arial" w:eastAsia="Arial" w:hAnsi="Arial"/>
                  <w:sz w:val="18"/>
                  <w:szCs w:val="18"/>
                  <w:u w:val="single" w:color="auto"/>
                  <w:color w:val="2B4C9B"/>
                </w:rPr>
                <w:t>15*</w:t>
              </w:r>
            </w:hyperlink>
          </w:p>
        </w:tc>
        <w:tc>
          <w:tcPr>
            <w:tcW w:w="9880" w:type="dxa"/>
            <w:vAlign w:val="bottom"/>
            <w:gridSpan w:val="30"/>
          </w:tcPr>
          <w:p>
            <w:pPr>
              <w:spacing w:after="0"/>
              <w:rPr>
                <w:rFonts w:ascii="Arial" w:cs="Arial" w:eastAsia="Arial" w:hAnsi="Arial"/>
                <w:sz w:val="18"/>
                <w:szCs w:val="18"/>
                <w:color w:val="2B4C9B"/>
              </w:rPr>
            </w:pPr>
            <w:hyperlink r:id="rId132">
              <w:r>
                <w:rPr>
                  <w:rFonts w:ascii="Arial" w:cs="Arial" w:eastAsia="Arial" w:hAnsi="Arial"/>
                  <w:sz w:val="18"/>
                  <w:szCs w:val="18"/>
                  <w:color w:val="2B4C9B"/>
                </w:rPr>
                <w:t>Form of Performance Share Award Agreement of the Science Applications International Corporation 2013 Equity Incentive</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580" w:type="dxa"/>
            <w:vAlign w:val="bottom"/>
            <w:tcBorders>
              <w:top w:val="single" w:sz="8" w:color="2B4C9B"/>
              <w:bottom w:val="single" w:sz="8" w:color="2B4C9B"/>
            </w:tcBorders>
            <w:gridSpan w:val="21"/>
          </w:tcPr>
          <w:p>
            <w:pPr>
              <w:spacing w:after="0" w:line="182" w:lineRule="exact"/>
              <w:rPr>
                <w:rFonts w:ascii="Arial" w:cs="Arial" w:eastAsia="Arial" w:hAnsi="Arial"/>
                <w:sz w:val="18"/>
                <w:szCs w:val="18"/>
                <w:color w:val="2B4C9B"/>
                <w:w w:val="99"/>
              </w:rPr>
            </w:pPr>
            <w:hyperlink r:id="rId132">
              <w:r>
                <w:rPr>
                  <w:rFonts w:ascii="Arial" w:cs="Arial" w:eastAsia="Arial" w:hAnsi="Arial"/>
                  <w:sz w:val="18"/>
                  <w:szCs w:val="18"/>
                  <w:color w:val="2B4C9B"/>
                  <w:w w:val="99"/>
                </w:rPr>
                <w:t>Plan. Incorporated by reference to Exhibit 10.15 to the Company’s Annual Report on Form 10-K as filed with the SEC on</w:t>
              </w:r>
            </w:hyperlink>
          </w:p>
        </w:tc>
        <w:tc>
          <w:tcPr>
            <w:tcW w:w="160" w:type="dxa"/>
            <w:vAlign w:val="bottom"/>
            <w:tcBorders>
              <w:top w:val="single" w:sz="8" w:color="2B4C9B"/>
            </w:tcBorders>
            <w:gridSpan w:val="5"/>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80" w:type="dxa"/>
            <w:vAlign w:val="bottom"/>
            <w:gridSpan w:val="30"/>
          </w:tcPr>
          <w:p>
            <w:pPr>
              <w:spacing w:after="0" w:line="182" w:lineRule="exact"/>
              <w:rPr>
                <w:rFonts w:ascii="Arial" w:cs="Arial" w:eastAsia="Arial" w:hAnsi="Arial"/>
                <w:sz w:val="18"/>
                <w:szCs w:val="18"/>
                <w:color w:val="2B4C9B"/>
              </w:rPr>
            </w:pPr>
            <w:hyperlink r:id="rId132">
              <w:r>
                <w:rPr>
                  <w:rFonts w:ascii="Arial" w:cs="Arial" w:eastAsia="Arial" w:hAnsi="Arial"/>
                  <w:sz w:val="18"/>
                  <w:szCs w:val="18"/>
                  <w:color w:val="2B4C9B"/>
                </w:rPr>
                <w:t>April 9, 2014.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gridSpan w:val="2"/>
            <w:shd w:val="clear" w:color="auto" w:fill="2B4C9B"/>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33">
              <w:r>
                <w:rPr>
                  <w:rFonts w:ascii="Arial" w:cs="Arial" w:eastAsia="Arial" w:hAnsi="Arial"/>
                  <w:sz w:val="18"/>
                  <w:szCs w:val="18"/>
                  <w:color w:val="2B4C9B"/>
                </w:rPr>
                <w:t>10.</w:t>
              </w:r>
              <w:r>
                <w:rPr>
                  <w:rFonts w:ascii="Arial" w:cs="Arial" w:eastAsia="Arial" w:hAnsi="Arial"/>
                  <w:sz w:val="18"/>
                  <w:szCs w:val="18"/>
                  <w:u w:val="single" w:color="auto"/>
                  <w:color w:val="2B4C9B"/>
                </w:rPr>
                <w:t>16*</w:t>
              </w:r>
            </w:hyperlink>
          </w:p>
        </w:tc>
        <w:tc>
          <w:tcPr>
            <w:tcW w:w="9880" w:type="dxa"/>
            <w:vAlign w:val="bottom"/>
            <w:gridSpan w:val="30"/>
          </w:tcPr>
          <w:p>
            <w:pPr>
              <w:spacing w:after="0"/>
              <w:rPr>
                <w:rFonts w:ascii="Arial" w:cs="Arial" w:eastAsia="Arial" w:hAnsi="Arial"/>
                <w:sz w:val="18"/>
                <w:szCs w:val="18"/>
                <w:color w:val="2B4C9B"/>
              </w:rPr>
            </w:pPr>
            <w:hyperlink r:id="rId133">
              <w:r>
                <w:rPr>
                  <w:rFonts w:ascii="Arial" w:cs="Arial" w:eastAsia="Arial" w:hAnsi="Arial"/>
                  <w:sz w:val="18"/>
                  <w:szCs w:val="18"/>
                  <w:color w:val="2B4C9B"/>
                </w:rPr>
                <w:t>Deferred Compensation Plan, effective January 1, 2015. Incorporated by reference to Exhibit 10.17 of the Company’s</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5620" w:type="dxa"/>
            <w:vAlign w:val="bottom"/>
            <w:tcBorders>
              <w:top w:val="single" w:sz="8" w:color="2B4C9B"/>
              <w:bottom w:val="single" w:sz="8" w:color="2B4C9B"/>
            </w:tcBorders>
            <w:gridSpan w:val="9"/>
          </w:tcPr>
          <w:p>
            <w:pPr>
              <w:spacing w:after="0" w:line="182" w:lineRule="exact"/>
              <w:rPr>
                <w:rFonts w:ascii="Arial" w:cs="Arial" w:eastAsia="Arial" w:hAnsi="Arial"/>
                <w:sz w:val="18"/>
                <w:szCs w:val="18"/>
                <w:color w:val="2B4C9B"/>
                <w:w w:val="99"/>
              </w:rPr>
            </w:pPr>
            <w:hyperlink r:id="rId133">
              <w:r>
                <w:rPr>
                  <w:rFonts w:ascii="Arial" w:cs="Arial" w:eastAsia="Arial" w:hAnsi="Arial"/>
                  <w:sz w:val="18"/>
                  <w:szCs w:val="18"/>
                  <w:color w:val="2B4C9B"/>
                  <w:w w:val="99"/>
                </w:rPr>
                <w:t>Annual Report on Form 10-K as filed with the SEC on March 31, 2015.</w:t>
              </w:r>
            </w:hyperlink>
          </w:p>
        </w:tc>
        <w:tc>
          <w:tcPr>
            <w:tcW w:w="3700" w:type="dxa"/>
            <w:vAlign w:val="bottom"/>
            <w:tcBorders>
              <w:top w:val="single" w:sz="8" w:color="2B4C9B"/>
            </w:tcBorders>
            <w:gridSpan w:val="7"/>
          </w:tcPr>
          <w:p>
            <w:pPr>
              <w:spacing w:after="0"/>
              <w:rPr>
                <w:sz w:val="15"/>
                <w:szCs w:val="15"/>
                <w:color w:val="auto"/>
              </w:rPr>
            </w:pPr>
          </w:p>
        </w:tc>
        <w:tc>
          <w:tcPr>
            <w:tcW w:w="560" w:type="dxa"/>
            <w:vAlign w:val="bottom"/>
            <w:gridSpan w:val="14"/>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34">
              <w:r>
                <w:rPr>
                  <w:rFonts w:ascii="Arial" w:cs="Arial" w:eastAsia="Arial" w:hAnsi="Arial"/>
                  <w:sz w:val="18"/>
                  <w:szCs w:val="18"/>
                  <w:color w:val="2B4C9B"/>
                </w:rPr>
                <w:t>10.</w:t>
              </w:r>
              <w:r>
                <w:rPr>
                  <w:rFonts w:ascii="Arial" w:cs="Arial" w:eastAsia="Arial" w:hAnsi="Arial"/>
                  <w:sz w:val="18"/>
                  <w:szCs w:val="18"/>
                  <w:u w:val="single" w:color="auto"/>
                  <w:color w:val="2B4C9B"/>
                </w:rPr>
                <w:t>17*</w:t>
              </w:r>
            </w:hyperlink>
          </w:p>
        </w:tc>
        <w:tc>
          <w:tcPr>
            <w:tcW w:w="9880" w:type="dxa"/>
            <w:vAlign w:val="bottom"/>
            <w:gridSpan w:val="30"/>
          </w:tcPr>
          <w:p>
            <w:pPr>
              <w:spacing w:after="0"/>
              <w:rPr>
                <w:rFonts w:ascii="Arial" w:cs="Arial" w:eastAsia="Arial" w:hAnsi="Arial"/>
                <w:sz w:val="18"/>
                <w:szCs w:val="18"/>
                <w:color w:val="2B4C9B"/>
              </w:rPr>
            </w:pPr>
            <w:hyperlink r:id="rId134">
              <w:r>
                <w:rPr>
                  <w:rFonts w:ascii="Arial" w:cs="Arial" w:eastAsia="Arial" w:hAnsi="Arial"/>
                  <w:sz w:val="18"/>
                  <w:szCs w:val="18"/>
                  <w:color w:val="2B4C9B"/>
                </w:rPr>
                <w:t>SAIC Executive Severance and Change of Control Policy, effective August 1, 2015. Incorporated by reference to Exhibit</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520" w:type="dxa"/>
            <w:vAlign w:val="bottom"/>
            <w:tcBorders>
              <w:top w:val="single" w:sz="8" w:color="2B4C9B"/>
            </w:tcBorders>
            <w:gridSpan w:val="19"/>
          </w:tcPr>
          <w:p>
            <w:pPr>
              <w:spacing w:after="0" w:line="182" w:lineRule="exact"/>
              <w:rPr>
                <w:rFonts w:ascii="Arial" w:cs="Arial" w:eastAsia="Arial" w:hAnsi="Arial"/>
                <w:sz w:val="18"/>
                <w:szCs w:val="18"/>
                <w:color w:val="2B4C9B"/>
              </w:rPr>
            </w:pPr>
            <w:hyperlink r:id="rId134">
              <w:r>
                <w:rPr>
                  <w:rFonts w:ascii="Arial" w:cs="Arial" w:eastAsia="Arial" w:hAnsi="Arial"/>
                  <w:sz w:val="18"/>
                  <w:szCs w:val="18"/>
                  <w:color w:val="2B4C9B"/>
                </w:rPr>
                <w:t>10.</w:t>
              </w:r>
              <w:r>
                <w:rPr>
                  <w:rFonts w:ascii="Arial" w:cs="Arial" w:eastAsia="Arial" w:hAnsi="Arial"/>
                  <w:sz w:val="18"/>
                  <w:szCs w:val="18"/>
                  <w:u w:val="single" w:color="auto"/>
                  <w:color w:val="2B4C9B"/>
                </w:rPr>
                <w:t>18</w:t>
              </w:r>
              <w:r>
                <w:rPr>
                  <w:rFonts w:ascii="Arial" w:cs="Arial" w:eastAsia="Arial" w:hAnsi="Arial"/>
                  <w:sz w:val="18"/>
                  <w:szCs w:val="18"/>
                  <w:color w:val="2B4C9B"/>
                </w:rPr>
                <w:t xml:space="preserve"> to the Company’s Annual Report on Form 10-K as filed with the SEC on March 29, 2016.</w:t>
              </w:r>
            </w:hyperlink>
          </w:p>
        </w:tc>
        <w:tc>
          <w:tcPr>
            <w:tcW w:w="360" w:type="dxa"/>
            <w:vAlign w:val="bottom"/>
            <w:gridSpan w:val="11"/>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3"/>
            <w:shd w:val="clear" w:color="auto" w:fill="2B4C9B"/>
          </w:tcPr>
          <w:p>
            <w:pPr>
              <w:spacing w:after="0" w:line="20" w:lineRule="exact"/>
              <w:rPr>
                <w:sz w:val="1"/>
                <w:szCs w:val="1"/>
                <w:color w:val="auto"/>
              </w:rPr>
            </w:pPr>
          </w:p>
        </w:tc>
        <w:tc>
          <w:tcPr>
            <w:tcW w:w="2600" w:type="dxa"/>
            <w:vAlign w:val="bottom"/>
            <w:gridSpan w:val="4"/>
            <w:shd w:val="clear" w:color="auto" w:fill="2B4C9B"/>
          </w:tcPr>
          <w:p>
            <w:pPr>
              <w:spacing w:after="0" w:line="20" w:lineRule="exact"/>
              <w:rPr>
                <w:sz w:val="1"/>
                <w:szCs w:val="1"/>
                <w:color w:val="auto"/>
              </w:rPr>
            </w:pPr>
          </w:p>
        </w:tc>
        <w:tc>
          <w:tcPr>
            <w:tcW w:w="1260" w:type="dxa"/>
            <w:vAlign w:val="bottom"/>
            <w:shd w:val="clear" w:color="auto" w:fill="2B4C9B"/>
          </w:tcPr>
          <w:p>
            <w:pPr>
              <w:spacing w:after="0" w:line="20" w:lineRule="exact"/>
              <w:rPr>
                <w:sz w:val="1"/>
                <w:szCs w:val="1"/>
                <w:color w:val="auto"/>
              </w:rPr>
            </w:pPr>
          </w:p>
        </w:tc>
        <w:tc>
          <w:tcPr>
            <w:tcW w:w="2200" w:type="dxa"/>
            <w:vAlign w:val="bottom"/>
            <w:gridSpan w:val="2"/>
            <w:shd w:val="clear" w:color="auto" w:fill="2B4C9B"/>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560" w:type="dxa"/>
            <w:vAlign w:val="bottom"/>
            <w:gridSpan w:val="4"/>
          </w:tcPr>
          <w:p>
            <w:pPr>
              <w:ind w:left="40"/>
              <w:spacing w:after="0"/>
              <w:rPr>
                <w:rFonts w:ascii="Arial" w:cs="Arial" w:eastAsia="Arial" w:hAnsi="Arial"/>
                <w:sz w:val="18"/>
                <w:szCs w:val="18"/>
                <w:color w:val="2B4C9B"/>
              </w:rPr>
            </w:pPr>
            <w:hyperlink r:id="rId135">
              <w:r>
                <w:rPr>
                  <w:rFonts w:ascii="Arial" w:cs="Arial" w:eastAsia="Arial" w:hAnsi="Arial"/>
                  <w:sz w:val="18"/>
                  <w:szCs w:val="18"/>
                  <w:color w:val="2B4C9B"/>
                </w:rPr>
                <w:t>10.</w:t>
              </w:r>
              <w:r>
                <w:rPr>
                  <w:rFonts w:ascii="Arial" w:cs="Arial" w:eastAsia="Arial" w:hAnsi="Arial"/>
                  <w:sz w:val="18"/>
                  <w:szCs w:val="18"/>
                  <w:u w:val="single" w:color="auto"/>
                  <w:color w:val="2B4C9B"/>
                </w:rPr>
                <w:t>18</w:t>
              </w:r>
            </w:hyperlink>
          </w:p>
        </w:tc>
        <w:tc>
          <w:tcPr>
            <w:tcW w:w="960" w:type="dxa"/>
            <w:vAlign w:val="bottom"/>
          </w:tcPr>
          <w:p>
            <w:pPr>
              <w:spacing w:after="0"/>
              <w:rPr>
                <w:sz w:val="24"/>
                <w:szCs w:val="24"/>
                <w:color w:val="auto"/>
              </w:rPr>
            </w:pPr>
          </w:p>
        </w:tc>
        <w:tc>
          <w:tcPr>
            <w:tcW w:w="9880" w:type="dxa"/>
            <w:vAlign w:val="bottom"/>
            <w:gridSpan w:val="30"/>
          </w:tcPr>
          <w:p>
            <w:pPr>
              <w:spacing w:after="0"/>
              <w:rPr>
                <w:rFonts w:ascii="Arial" w:cs="Arial" w:eastAsia="Arial" w:hAnsi="Arial"/>
                <w:sz w:val="18"/>
                <w:szCs w:val="18"/>
                <w:color w:val="2B4C9B"/>
              </w:rPr>
            </w:pPr>
            <w:hyperlink r:id="rId135">
              <w:r>
                <w:rPr>
                  <w:rFonts w:ascii="Arial" w:cs="Arial" w:eastAsia="Arial" w:hAnsi="Arial"/>
                  <w:sz w:val="18"/>
                  <w:szCs w:val="18"/>
                  <w:color w:val="2B4C9B"/>
                </w:rPr>
                <w:t>Master Transition Services Agreement dated September 25, 2013, between the Company (formerly SAIC Gemini, Inc.) and</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780" w:type="dxa"/>
            <w:vAlign w:val="bottom"/>
            <w:tcBorders>
              <w:top w:val="single" w:sz="8" w:color="2B4C9B"/>
            </w:tcBorders>
            <w:gridSpan w:val="28"/>
          </w:tcPr>
          <w:p>
            <w:pPr>
              <w:spacing w:after="0" w:line="182" w:lineRule="exact"/>
              <w:rPr>
                <w:rFonts w:ascii="Arial" w:cs="Arial" w:eastAsia="Arial" w:hAnsi="Arial"/>
                <w:sz w:val="18"/>
                <w:szCs w:val="18"/>
                <w:color w:val="2B4C9B"/>
              </w:rPr>
            </w:pPr>
            <w:hyperlink r:id="rId135">
              <w:r>
                <w:rPr>
                  <w:rFonts w:ascii="Arial" w:cs="Arial" w:eastAsia="Arial" w:hAnsi="Arial"/>
                  <w:sz w:val="18"/>
                  <w:szCs w:val="18"/>
                  <w:color w:val="2B4C9B"/>
                </w:rPr>
                <w:t>Leidos Holdings, Inc. (formerly SAIC, Inc.). Incorporated by reference to Exhibit 10.3 to the Company’s Current Report on</w:t>
              </w:r>
            </w:hyperlink>
          </w:p>
        </w:tc>
        <w:tc>
          <w:tcPr>
            <w:tcW w:w="10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40" w:type="dxa"/>
            <w:vAlign w:val="bottom"/>
            <w:tcBorders>
              <w:top w:val="single" w:sz="8" w:color="2B4C9B"/>
            </w:tcBorders>
            <w:gridSpan w:val="22"/>
          </w:tcPr>
          <w:p>
            <w:pPr>
              <w:spacing w:after="0" w:line="182" w:lineRule="exact"/>
              <w:rPr>
                <w:rFonts w:ascii="Arial" w:cs="Arial" w:eastAsia="Arial" w:hAnsi="Arial"/>
                <w:sz w:val="18"/>
                <w:szCs w:val="18"/>
                <w:color w:val="2B4C9B"/>
              </w:rPr>
            </w:pPr>
            <w:hyperlink r:id="rId135">
              <w:r>
                <w:rPr>
                  <w:rFonts w:ascii="Arial" w:cs="Arial" w:eastAsia="Arial" w:hAnsi="Arial"/>
                  <w:sz w:val="18"/>
                  <w:szCs w:val="18"/>
                  <w:color w:val="2B4C9B"/>
                </w:rPr>
                <w:t>Form 8-K as filed with the SEC on October 1, 2013.</w:t>
              </w:r>
            </w:hyperlink>
          </w:p>
        </w:tc>
        <w:tc>
          <w:tcPr>
            <w:tcW w:w="240" w:type="dxa"/>
            <w:vAlign w:val="bottom"/>
            <w:gridSpan w:val="8"/>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500" w:type="dxa"/>
            <w:vAlign w:val="bottom"/>
            <w:gridSpan w:val="3"/>
            <w:shd w:val="clear" w:color="auto" w:fill="2B4C9B"/>
          </w:tcPr>
          <w:p>
            <w:pPr>
              <w:spacing w:after="0" w:line="20" w:lineRule="exact"/>
              <w:rPr>
                <w:sz w:val="1"/>
                <w:szCs w:val="1"/>
                <w:color w:val="auto"/>
              </w:rPr>
            </w:pPr>
          </w:p>
        </w:tc>
        <w:tc>
          <w:tcPr>
            <w:tcW w:w="2600" w:type="dxa"/>
            <w:vAlign w:val="bottom"/>
            <w:gridSpan w:val="4"/>
            <w:shd w:val="clear" w:color="auto" w:fill="2B4C9B"/>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58"/>
        </w:trPr>
        <w:tc>
          <w:tcPr>
            <w:tcW w:w="1520" w:type="dxa"/>
            <w:vAlign w:val="bottom"/>
            <w:gridSpan w:val="5"/>
          </w:tcPr>
          <w:p>
            <w:pPr>
              <w:ind w:left="40"/>
              <w:spacing w:after="0"/>
              <w:rPr>
                <w:sz w:val="20"/>
                <w:szCs w:val="20"/>
                <w:color w:val="auto"/>
              </w:rPr>
            </w:pPr>
            <w:r>
              <w:rPr>
                <w:rFonts w:ascii="Arial" w:cs="Arial" w:eastAsia="Arial" w:hAnsi="Arial"/>
                <w:sz w:val="18"/>
                <w:szCs w:val="18"/>
                <w:color w:val="2B4C9B"/>
              </w:rPr>
              <w:t>10.</w:t>
            </w:r>
            <w:r>
              <w:rPr>
                <w:rFonts w:ascii="Arial" w:cs="Arial" w:eastAsia="Arial" w:hAnsi="Arial"/>
                <w:sz w:val="18"/>
                <w:szCs w:val="18"/>
                <w:u w:val="single" w:color="auto"/>
                <w:color w:val="2B4C9B"/>
              </w:rPr>
              <w:t>19*</w:t>
            </w:r>
          </w:p>
        </w:tc>
        <w:tc>
          <w:tcPr>
            <w:tcW w:w="9880" w:type="dxa"/>
            <w:vAlign w:val="bottom"/>
            <w:gridSpan w:val="30"/>
          </w:tcPr>
          <w:p>
            <w:pPr>
              <w:spacing w:after="0"/>
              <w:rPr>
                <w:sz w:val="20"/>
                <w:szCs w:val="20"/>
                <w:color w:val="auto"/>
              </w:rPr>
            </w:pPr>
            <w:r>
              <w:rPr>
                <w:rFonts w:ascii="Arial" w:cs="Arial" w:eastAsia="Arial" w:hAnsi="Arial"/>
                <w:sz w:val="18"/>
                <w:szCs w:val="18"/>
                <w:color w:val="2B4C9B"/>
              </w:rPr>
              <w:t>Science Applications International Corporation Third Amended and Restated 2012 Long Term Performance Plan.</w:t>
            </w: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2B4C9B"/>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3"/>
            <w:shd w:val="clear" w:color="auto" w:fill="2B4C9B"/>
          </w:tcPr>
          <w:p>
            <w:pPr>
              <w:spacing w:after="0" w:line="20" w:lineRule="exact"/>
              <w:rPr>
                <w:sz w:val="1"/>
                <w:szCs w:val="1"/>
                <w:color w:val="auto"/>
              </w:rPr>
            </w:pPr>
          </w:p>
        </w:tc>
        <w:tc>
          <w:tcPr>
            <w:tcW w:w="3860" w:type="dxa"/>
            <w:vAlign w:val="bottom"/>
            <w:gridSpan w:val="5"/>
            <w:shd w:val="clear" w:color="auto" w:fill="2B4C9B"/>
          </w:tcPr>
          <w:p>
            <w:pPr>
              <w:spacing w:after="0" w:line="20" w:lineRule="exact"/>
              <w:rPr>
                <w:sz w:val="1"/>
                <w:szCs w:val="1"/>
                <w:color w:val="auto"/>
              </w:rPr>
            </w:pPr>
          </w:p>
        </w:tc>
        <w:tc>
          <w:tcPr>
            <w:tcW w:w="3520" w:type="dxa"/>
            <w:vAlign w:val="bottom"/>
            <w:gridSpan w:val="3"/>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58"/>
        </w:trPr>
        <w:tc>
          <w:tcPr>
            <w:tcW w:w="560" w:type="dxa"/>
            <w:vAlign w:val="bottom"/>
            <w:gridSpan w:val="4"/>
          </w:tcPr>
          <w:p>
            <w:pPr>
              <w:ind w:left="40"/>
              <w:spacing w:after="0"/>
              <w:rPr>
                <w:rFonts w:ascii="Arial" w:cs="Arial" w:eastAsia="Arial" w:hAnsi="Arial"/>
                <w:sz w:val="18"/>
                <w:szCs w:val="18"/>
                <w:color w:val="2B4C9B"/>
              </w:rPr>
            </w:pPr>
            <w:hyperlink r:id="rId136">
              <w:r>
                <w:rPr>
                  <w:rFonts w:ascii="Arial" w:cs="Arial" w:eastAsia="Arial" w:hAnsi="Arial"/>
                  <w:sz w:val="18"/>
                  <w:szCs w:val="18"/>
                  <w:color w:val="2B4C9B"/>
                </w:rPr>
                <w:t>10.</w:t>
              </w:r>
              <w:r>
                <w:rPr>
                  <w:rFonts w:ascii="Arial" w:cs="Arial" w:eastAsia="Arial" w:hAnsi="Arial"/>
                  <w:sz w:val="18"/>
                  <w:szCs w:val="18"/>
                  <w:u w:val="single" w:color="auto"/>
                  <w:color w:val="2B4C9B"/>
                </w:rPr>
                <w:t>20</w:t>
              </w:r>
            </w:hyperlink>
          </w:p>
        </w:tc>
        <w:tc>
          <w:tcPr>
            <w:tcW w:w="960" w:type="dxa"/>
            <w:vAlign w:val="bottom"/>
          </w:tcPr>
          <w:p>
            <w:pPr>
              <w:spacing w:after="0"/>
              <w:rPr>
                <w:sz w:val="24"/>
                <w:szCs w:val="24"/>
                <w:color w:val="auto"/>
              </w:rPr>
            </w:pPr>
          </w:p>
        </w:tc>
        <w:tc>
          <w:tcPr>
            <w:tcW w:w="9880" w:type="dxa"/>
            <w:vAlign w:val="bottom"/>
            <w:gridSpan w:val="30"/>
          </w:tcPr>
          <w:p>
            <w:pPr>
              <w:spacing w:after="0"/>
              <w:rPr>
                <w:rFonts w:ascii="Arial" w:cs="Arial" w:eastAsia="Arial" w:hAnsi="Arial"/>
                <w:sz w:val="18"/>
                <w:szCs w:val="18"/>
                <w:color w:val="2B4C9B"/>
              </w:rPr>
            </w:pPr>
            <w:hyperlink r:id="rId136">
              <w:r>
                <w:rPr>
                  <w:rFonts w:ascii="Arial" w:cs="Arial" w:eastAsia="Arial" w:hAnsi="Arial"/>
                  <w:sz w:val="18"/>
                  <w:szCs w:val="18"/>
                  <w:color w:val="2B4C9B"/>
                </w:rPr>
                <w:t>Master Transitional Contracting Agreement between the Company (formerly SAIC Gemini, Inc.) and Leidos Holdings, Inc.</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40" w:type="dxa"/>
            <w:vAlign w:val="bottom"/>
            <w:tcBorders>
              <w:top w:val="single" w:sz="8" w:color="2B4C9B"/>
            </w:tcBorders>
            <w:gridSpan w:val="22"/>
          </w:tcPr>
          <w:p>
            <w:pPr>
              <w:spacing w:after="0" w:line="182" w:lineRule="exact"/>
              <w:rPr>
                <w:rFonts w:ascii="Arial" w:cs="Arial" w:eastAsia="Arial" w:hAnsi="Arial"/>
                <w:sz w:val="18"/>
                <w:szCs w:val="18"/>
                <w:color w:val="2B4C9B"/>
              </w:rPr>
            </w:pPr>
            <w:hyperlink r:id="rId136">
              <w:r>
                <w:rPr>
                  <w:rFonts w:ascii="Arial" w:cs="Arial" w:eastAsia="Arial" w:hAnsi="Arial"/>
                  <w:sz w:val="18"/>
                  <w:szCs w:val="18"/>
                  <w:color w:val="2B4C9B"/>
                </w:rPr>
                <w:t>(formerly SAIC, Inc.) dated September 25, 2013. Incorporated by reference to Exhibit 10.1 to the Company’s Quarterly</w:t>
              </w:r>
            </w:hyperlink>
          </w:p>
        </w:tc>
        <w:tc>
          <w:tcPr>
            <w:tcW w:w="240" w:type="dxa"/>
            <w:vAlign w:val="bottom"/>
            <w:gridSpan w:val="8"/>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60" w:type="dxa"/>
            <w:vAlign w:val="bottom"/>
            <w:tcBorders>
              <w:top w:val="single" w:sz="8" w:color="2B4C9B"/>
              <w:bottom w:val="single" w:sz="8" w:color="2B4C9B"/>
            </w:tcBorders>
            <w:gridSpan w:val="8"/>
          </w:tcPr>
          <w:p>
            <w:pPr>
              <w:spacing w:after="0" w:line="182" w:lineRule="exact"/>
              <w:rPr>
                <w:rFonts w:ascii="Arial" w:cs="Arial" w:eastAsia="Arial" w:hAnsi="Arial"/>
                <w:sz w:val="18"/>
                <w:szCs w:val="18"/>
                <w:color w:val="2B4C9B"/>
                <w:w w:val="99"/>
              </w:rPr>
            </w:pPr>
            <w:hyperlink r:id="rId136">
              <w:r>
                <w:rPr>
                  <w:rFonts w:ascii="Arial" w:cs="Arial" w:eastAsia="Arial" w:hAnsi="Arial"/>
                  <w:sz w:val="18"/>
                  <w:szCs w:val="18"/>
                  <w:color w:val="2B4C9B"/>
                  <w:w w:val="99"/>
                </w:rPr>
                <w:t>Report on Form 10-Q as filed with the SEC on December 13, 2013.</w:t>
              </w:r>
            </w:hyperlink>
          </w:p>
        </w:tc>
        <w:tc>
          <w:tcPr>
            <w:tcW w:w="4040" w:type="dxa"/>
            <w:vAlign w:val="bottom"/>
            <w:tcBorders>
              <w:top w:val="single" w:sz="8" w:color="2B4C9B"/>
            </w:tcBorders>
            <w:gridSpan w:val="9"/>
          </w:tcPr>
          <w:p>
            <w:pPr>
              <w:spacing w:after="0"/>
              <w:rPr>
                <w:sz w:val="15"/>
                <w:szCs w:val="15"/>
                <w:color w:val="auto"/>
              </w:rPr>
            </w:pPr>
          </w:p>
        </w:tc>
        <w:tc>
          <w:tcPr>
            <w:tcW w:w="480" w:type="dxa"/>
            <w:vAlign w:val="bottom"/>
            <w:gridSpan w:val="13"/>
          </w:tcPr>
          <w:p>
            <w:pPr>
              <w:spacing w:after="0"/>
              <w:rPr>
                <w:sz w:val="15"/>
                <w:szCs w:val="15"/>
                <w:color w:val="auto"/>
              </w:rPr>
            </w:pPr>
          </w:p>
        </w:tc>
      </w:tr>
      <w:tr>
        <w:trPr>
          <w:trHeight w:val="358"/>
        </w:trPr>
        <w:tc>
          <w:tcPr>
            <w:tcW w:w="1520" w:type="dxa"/>
            <w:vAlign w:val="bottom"/>
            <w:gridSpan w:val="5"/>
          </w:tcPr>
          <w:p>
            <w:pPr>
              <w:ind w:left="40"/>
              <w:spacing w:after="0"/>
              <w:rPr>
                <w:sz w:val="20"/>
                <w:szCs w:val="20"/>
                <w:color w:val="auto"/>
              </w:rPr>
            </w:pPr>
            <w:r>
              <w:rPr>
                <w:rFonts w:ascii="Arial" w:cs="Arial" w:eastAsia="Arial" w:hAnsi="Arial"/>
                <w:sz w:val="18"/>
                <w:szCs w:val="18"/>
                <w:color w:val="2B4C9B"/>
              </w:rPr>
              <w:t>10.</w:t>
            </w:r>
            <w:r>
              <w:rPr>
                <w:rFonts w:ascii="Arial" w:cs="Arial" w:eastAsia="Arial" w:hAnsi="Arial"/>
                <w:sz w:val="18"/>
                <w:szCs w:val="18"/>
                <w:u w:val="single" w:color="auto"/>
                <w:color w:val="2B4C9B"/>
              </w:rPr>
              <w:t>21*</w:t>
            </w:r>
          </w:p>
        </w:tc>
        <w:tc>
          <w:tcPr>
            <w:tcW w:w="9880" w:type="dxa"/>
            <w:vAlign w:val="bottom"/>
            <w:gridSpan w:val="30"/>
          </w:tcPr>
          <w:p>
            <w:pPr>
              <w:spacing w:after="0"/>
              <w:rPr>
                <w:sz w:val="20"/>
                <w:szCs w:val="20"/>
                <w:color w:val="auto"/>
              </w:rPr>
            </w:pPr>
            <w:r>
              <w:rPr>
                <w:rFonts w:ascii="Arial" w:cs="Arial" w:eastAsia="Arial" w:hAnsi="Arial"/>
                <w:sz w:val="18"/>
                <w:szCs w:val="18"/>
                <w:color w:val="2B4C9B"/>
              </w:rPr>
              <w:t>Form of Performance Unit Award Agreement of the Science Applications International Corporation 2012 Long Term</w:t>
            </w:r>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Borders>
              <w:top w:val="single" w:sz="8" w:color="2B4C9B"/>
              <w:bottom w:val="single" w:sz="8" w:color="2B4C9B"/>
            </w:tcBorders>
            <w:gridSpan w:val="3"/>
          </w:tcPr>
          <w:p>
            <w:pPr>
              <w:spacing w:after="0" w:line="182" w:lineRule="exact"/>
              <w:rPr>
                <w:sz w:val="20"/>
                <w:szCs w:val="20"/>
                <w:color w:val="auto"/>
              </w:rPr>
            </w:pPr>
            <w:r>
              <w:rPr>
                <w:rFonts w:ascii="Arial" w:cs="Arial" w:eastAsia="Arial" w:hAnsi="Arial"/>
                <w:sz w:val="18"/>
                <w:szCs w:val="18"/>
                <w:color w:val="2B4C9B"/>
                <w:w w:val="99"/>
              </w:rPr>
              <w:t>Performance Plan.</w:t>
            </w:r>
          </w:p>
        </w:tc>
        <w:tc>
          <w:tcPr>
            <w:tcW w:w="7660" w:type="dxa"/>
            <w:vAlign w:val="bottom"/>
            <w:tcBorders>
              <w:top w:val="single" w:sz="8" w:color="2B4C9B"/>
            </w:tcBorders>
            <w:gridSpan w:val="12"/>
          </w:tcPr>
          <w:p>
            <w:pPr>
              <w:spacing w:after="0"/>
              <w:rPr>
                <w:sz w:val="15"/>
                <w:szCs w:val="15"/>
                <w:color w:val="auto"/>
              </w:rPr>
            </w:pPr>
          </w:p>
        </w:tc>
        <w:tc>
          <w:tcPr>
            <w:tcW w:w="720" w:type="dxa"/>
            <w:vAlign w:val="bottom"/>
            <w:gridSpan w:val="15"/>
          </w:tcPr>
          <w:p>
            <w:pPr>
              <w:spacing w:after="0"/>
              <w:rPr>
                <w:sz w:val="15"/>
                <w:szCs w:val="15"/>
                <w:color w:val="auto"/>
              </w:rPr>
            </w:pPr>
          </w:p>
        </w:tc>
      </w:tr>
      <w:tr>
        <w:trPr>
          <w:trHeight w:val="358"/>
        </w:trPr>
        <w:tc>
          <w:tcPr>
            <w:tcW w:w="1520" w:type="dxa"/>
            <w:vAlign w:val="bottom"/>
            <w:gridSpan w:val="5"/>
          </w:tcPr>
          <w:p>
            <w:pPr>
              <w:ind w:left="40"/>
              <w:spacing w:after="0"/>
              <w:rPr>
                <w:sz w:val="20"/>
                <w:szCs w:val="20"/>
                <w:color w:val="auto"/>
              </w:rPr>
            </w:pPr>
            <w:r>
              <w:rPr>
                <w:rFonts w:ascii="Arial" w:cs="Arial" w:eastAsia="Arial" w:hAnsi="Arial"/>
                <w:sz w:val="18"/>
                <w:szCs w:val="18"/>
                <w:color w:val="2B4C9B"/>
              </w:rPr>
              <w:t>10.</w:t>
            </w:r>
            <w:r>
              <w:rPr>
                <w:rFonts w:ascii="Arial" w:cs="Arial" w:eastAsia="Arial" w:hAnsi="Arial"/>
                <w:sz w:val="18"/>
                <w:szCs w:val="18"/>
                <w:u w:val="single" w:color="auto"/>
                <w:color w:val="2B4C9B"/>
              </w:rPr>
              <w:t>22*</w:t>
            </w:r>
          </w:p>
        </w:tc>
        <w:tc>
          <w:tcPr>
            <w:tcW w:w="9880" w:type="dxa"/>
            <w:vAlign w:val="bottom"/>
            <w:gridSpan w:val="30"/>
          </w:tcPr>
          <w:p>
            <w:pPr>
              <w:spacing w:after="0"/>
              <w:rPr>
                <w:sz w:val="20"/>
                <w:szCs w:val="20"/>
                <w:color w:val="auto"/>
              </w:rPr>
            </w:pPr>
            <w:r>
              <w:rPr>
                <w:rFonts w:ascii="Arial" w:cs="Arial" w:eastAsia="Arial" w:hAnsi="Arial"/>
                <w:sz w:val="18"/>
                <w:szCs w:val="18"/>
                <w:color w:val="2B4C9B"/>
              </w:rPr>
              <w:t>Form of Restricted Stock Unit Agreement of the Science Applications International Corporation 2012 Long Term</w:t>
            </w:r>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8880" w:type="dxa"/>
            <w:vAlign w:val="bottom"/>
            <w:tcBorders>
              <w:top w:val="single" w:sz="8" w:color="2B4C9B"/>
            </w:tcBorders>
            <w:gridSpan w:val="11"/>
          </w:tcPr>
          <w:p>
            <w:pPr>
              <w:spacing w:after="0" w:line="182" w:lineRule="exact"/>
              <w:rPr>
                <w:sz w:val="20"/>
                <w:szCs w:val="20"/>
                <w:color w:val="auto"/>
              </w:rPr>
            </w:pPr>
            <w:r>
              <w:rPr>
                <w:rFonts w:ascii="Arial" w:cs="Arial" w:eastAsia="Arial" w:hAnsi="Arial"/>
                <w:sz w:val="18"/>
                <w:szCs w:val="18"/>
                <w:color w:val="2B4C9B"/>
              </w:rPr>
              <w:t>Performance Plan.</w:t>
            </w:r>
          </w:p>
        </w:tc>
        <w:tc>
          <w:tcPr>
            <w:tcW w:w="1000" w:type="dxa"/>
            <w:vAlign w:val="bottom"/>
            <w:gridSpan w:val="19"/>
          </w:tcPr>
          <w:p>
            <w:pPr>
              <w:spacing w:after="0"/>
              <w:rPr>
                <w:sz w:val="15"/>
                <w:szCs w:val="15"/>
                <w:color w:val="auto"/>
              </w:rPr>
            </w:pPr>
          </w:p>
        </w:tc>
      </w:tr>
      <w:tr>
        <w:trPr>
          <w:trHeight w:val="709"/>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Borders>
              <w:top w:val="single" w:sz="8" w:color="2B4C9B"/>
            </w:tcBorders>
          </w:tcPr>
          <w:p>
            <w:pPr>
              <w:spacing w:after="0"/>
              <w:rPr>
                <w:sz w:val="24"/>
                <w:szCs w:val="24"/>
                <w:color w:val="auto"/>
              </w:rPr>
            </w:pPr>
          </w:p>
        </w:tc>
        <w:tc>
          <w:tcPr>
            <w:tcW w:w="600" w:type="dxa"/>
            <w:vAlign w:val="bottom"/>
            <w:tcBorders>
              <w:top w:val="single" w:sz="8" w:color="2B4C9B"/>
            </w:tcBorders>
          </w:tcPr>
          <w:p>
            <w:pPr>
              <w:spacing w:after="0"/>
              <w:rPr>
                <w:sz w:val="24"/>
                <w:szCs w:val="24"/>
                <w:color w:val="auto"/>
              </w:rPr>
            </w:pPr>
          </w:p>
        </w:tc>
        <w:tc>
          <w:tcPr>
            <w:tcW w:w="440" w:type="dxa"/>
            <w:vAlign w:val="bottom"/>
            <w:tcBorders>
              <w:top w:val="single" w:sz="8" w:color="2B4C9B"/>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900" w:type="dxa"/>
            <w:vAlign w:val="bottom"/>
            <w:gridSpan w:val="24"/>
          </w:tcPr>
          <w:p>
            <w:pPr>
              <w:jc w:val="center"/>
              <w:ind w:right="4480"/>
              <w:spacing w:after="0"/>
              <w:rPr>
                <w:sz w:val="20"/>
                <w:szCs w:val="20"/>
                <w:color w:val="auto"/>
              </w:rPr>
            </w:pPr>
            <w:r>
              <w:rPr>
                <w:rFonts w:ascii="Arial" w:cs="Arial" w:eastAsia="Arial" w:hAnsi="Arial"/>
                <w:sz w:val="18"/>
                <w:szCs w:val="18"/>
                <w:color w:val="2B4C9B"/>
              </w:rPr>
              <w:t>F-45</w:t>
            </w:r>
          </w:p>
        </w:tc>
      </w:tr>
    </w:tbl>
    <w:p>
      <w:pPr>
        <w:sectPr>
          <w:pgSz w:w="11900" w:h="16838" w:orient="portrait"/>
          <w:cols w:equalWidth="0" w:num="1">
            <w:col w:w="11400"/>
          </w:cols>
          <w:pgMar w:left="240" w:top="490" w:right="25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80" w:type="dxa"/>
            <w:vAlign w:val="bottom"/>
            <w:gridSpan w:val="11"/>
          </w:tcPr>
          <w:p>
            <w:pPr>
              <w:jc w:val="center"/>
              <w:ind w:right="150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560" w:type="dxa"/>
            <w:vAlign w:val="bottom"/>
            <w:tcBorders>
              <w:bottom w:val="single" w:sz="8" w:color="auto"/>
            </w:tcBorders>
            <w:gridSpan w:val="8"/>
          </w:tcPr>
          <w:p>
            <w:pPr>
              <w:jc w:val="center"/>
              <w:ind w:right="382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2B4C9B"/>
              </w:rPr>
              <w:t>Exhibit</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80" w:type="dxa"/>
            <w:vAlign w:val="bottom"/>
            <w:tcBorders>
              <w:bottom w:val="single" w:sz="8" w:color="2B4C9B"/>
            </w:tcBorders>
            <w:gridSpan w:val="3"/>
          </w:tcPr>
          <w:p>
            <w:pPr>
              <w:spacing w:after="0"/>
              <w:rPr>
                <w:sz w:val="20"/>
                <w:szCs w:val="20"/>
                <w:color w:val="auto"/>
              </w:rPr>
            </w:pPr>
            <w:r>
              <w:rPr>
                <w:rFonts w:ascii="Arial" w:cs="Arial" w:eastAsia="Arial" w:hAnsi="Arial"/>
                <w:sz w:val="18"/>
                <w:szCs w:val="18"/>
                <w:b w:val="1"/>
                <w:bCs w:val="1"/>
                <w:color w:val="2B4C9B"/>
              </w:rPr>
              <w:t>Number</w:t>
            </w:r>
          </w:p>
        </w:tc>
        <w:tc>
          <w:tcPr>
            <w:tcW w:w="2100" w:type="dxa"/>
            <w:vAlign w:val="bottom"/>
            <w:tcBorders>
              <w:bottom w:val="single" w:sz="8" w:color="2B4C9B"/>
            </w:tcBorders>
          </w:tcPr>
          <w:p>
            <w:pPr>
              <w:spacing w:after="0"/>
              <w:rPr>
                <w:sz w:val="21"/>
                <w:szCs w:val="21"/>
                <w:color w:val="auto"/>
              </w:rPr>
            </w:pPr>
          </w:p>
        </w:tc>
        <w:tc>
          <w:tcPr>
            <w:tcW w:w="20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1280" w:type="dxa"/>
            <w:vAlign w:val="bottom"/>
            <w:tcBorders>
              <w:bottom w:val="single" w:sz="8" w:color="2B4C9B"/>
            </w:tcBorders>
          </w:tcPr>
          <w:p>
            <w:pPr>
              <w:spacing w:after="0"/>
              <w:rPr>
                <w:sz w:val="21"/>
                <w:szCs w:val="21"/>
                <w:color w:val="auto"/>
              </w:rPr>
            </w:pPr>
          </w:p>
        </w:tc>
        <w:tc>
          <w:tcPr>
            <w:tcW w:w="6280" w:type="dxa"/>
            <w:vAlign w:val="bottom"/>
            <w:tcBorders>
              <w:bottom w:val="single" w:sz="8" w:color="2B4C9B"/>
            </w:tcBorders>
            <w:gridSpan w:val="7"/>
          </w:tcPr>
          <w:p>
            <w:pPr>
              <w:ind w:left="400"/>
              <w:spacing w:after="0"/>
              <w:rPr>
                <w:sz w:val="20"/>
                <w:szCs w:val="20"/>
                <w:color w:val="auto"/>
              </w:rPr>
            </w:pPr>
            <w:r>
              <w:rPr>
                <w:rFonts w:ascii="Arial" w:cs="Arial" w:eastAsia="Arial" w:hAnsi="Arial"/>
                <w:sz w:val="18"/>
                <w:szCs w:val="18"/>
                <w:b w:val="1"/>
                <w:bCs w:val="1"/>
                <w:color w:val="2B4C9B"/>
              </w:rPr>
              <w:t>Description of Exhibit</w:t>
            </w:r>
          </w:p>
        </w:tc>
      </w:tr>
      <w:tr>
        <w:trPr>
          <w:trHeight w:val="527"/>
        </w:trPr>
        <w:tc>
          <w:tcPr>
            <w:tcW w:w="380" w:type="dxa"/>
            <w:vAlign w:val="bottom"/>
            <w:gridSpan w:val="3"/>
          </w:tcPr>
          <w:p>
            <w:pPr>
              <w:ind w:left="40"/>
              <w:spacing w:after="0"/>
              <w:rPr>
                <w:rFonts w:ascii="Arial" w:cs="Arial" w:eastAsia="Arial" w:hAnsi="Arial"/>
                <w:sz w:val="18"/>
                <w:szCs w:val="18"/>
                <w:color w:val="2B4C9B"/>
                <w:w w:val="91"/>
              </w:rPr>
            </w:pPr>
            <w:hyperlink r:id="rId137">
              <w:r>
                <w:rPr>
                  <w:rFonts w:ascii="Arial" w:cs="Arial" w:eastAsia="Arial" w:hAnsi="Arial"/>
                  <w:sz w:val="18"/>
                  <w:szCs w:val="18"/>
                  <w:color w:val="2B4C9B"/>
                  <w:w w:val="91"/>
                </w:rPr>
                <w:t>16.</w:t>
              </w:r>
              <w:r>
                <w:rPr>
                  <w:rFonts w:ascii="Arial" w:cs="Arial" w:eastAsia="Arial" w:hAnsi="Arial"/>
                  <w:sz w:val="18"/>
                  <w:szCs w:val="18"/>
                  <w:u w:val="single" w:color="auto"/>
                  <w:color w:val="2B4C9B"/>
                  <w:w w:val="91"/>
                </w:rPr>
                <w:t>1</w:t>
              </w:r>
            </w:hyperlink>
          </w:p>
        </w:tc>
        <w:tc>
          <w:tcPr>
            <w:tcW w:w="1140" w:type="dxa"/>
            <w:vAlign w:val="bottom"/>
          </w:tcPr>
          <w:p>
            <w:pPr>
              <w:spacing w:after="0"/>
              <w:rPr>
                <w:sz w:val="24"/>
                <w:szCs w:val="24"/>
                <w:color w:val="auto"/>
              </w:rPr>
            </w:pPr>
          </w:p>
        </w:tc>
        <w:tc>
          <w:tcPr>
            <w:tcW w:w="9880" w:type="dxa"/>
            <w:vAlign w:val="bottom"/>
            <w:gridSpan w:val="11"/>
          </w:tcPr>
          <w:p>
            <w:pPr>
              <w:spacing w:after="0"/>
              <w:rPr>
                <w:rFonts w:ascii="Arial" w:cs="Arial" w:eastAsia="Arial" w:hAnsi="Arial"/>
                <w:sz w:val="18"/>
                <w:szCs w:val="18"/>
                <w:color w:val="2B4C9B"/>
              </w:rPr>
            </w:pPr>
            <w:hyperlink r:id="rId137">
              <w:r>
                <w:rPr>
                  <w:rFonts w:ascii="Arial" w:cs="Arial" w:eastAsia="Arial" w:hAnsi="Arial"/>
                  <w:sz w:val="18"/>
                  <w:szCs w:val="18"/>
                  <w:color w:val="2B4C9B"/>
                </w:rPr>
                <w:t>Letter from Deloitte &amp; Touche LLP. Incorporated by reference to Exhibit 16.1 to the Company’s Current Report on Form 8-</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140" w:type="dxa"/>
            <w:vAlign w:val="bottom"/>
          </w:tcPr>
          <w:p>
            <w:pPr>
              <w:spacing w:after="0"/>
              <w:rPr>
                <w:sz w:val="15"/>
                <w:szCs w:val="15"/>
                <w:color w:val="auto"/>
              </w:rPr>
            </w:pPr>
          </w:p>
        </w:tc>
        <w:tc>
          <w:tcPr>
            <w:tcW w:w="9640" w:type="dxa"/>
            <w:vAlign w:val="bottom"/>
            <w:tcBorders>
              <w:top w:val="single" w:sz="8" w:color="2B4C9B"/>
            </w:tcBorders>
            <w:gridSpan w:val="10"/>
          </w:tcPr>
          <w:p>
            <w:pPr>
              <w:spacing w:after="0" w:line="182" w:lineRule="exact"/>
              <w:rPr>
                <w:rFonts w:ascii="Arial" w:cs="Arial" w:eastAsia="Arial" w:hAnsi="Arial"/>
                <w:sz w:val="18"/>
                <w:szCs w:val="18"/>
                <w:color w:val="2B4C9B"/>
              </w:rPr>
            </w:pPr>
            <w:hyperlink r:id="rId137">
              <w:r>
                <w:rPr>
                  <w:rFonts w:ascii="Arial" w:cs="Arial" w:eastAsia="Arial" w:hAnsi="Arial"/>
                  <w:sz w:val="18"/>
                  <w:szCs w:val="18"/>
                  <w:color w:val="2B4C9B"/>
                </w:rPr>
                <w:t>K/A as filed with the SEC on March 30, 2018.</w:t>
              </w:r>
            </w:hyperlink>
          </w:p>
        </w:tc>
        <w:tc>
          <w:tcPr>
            <w:tcW w:w="240" w:type="dxa"/>
            <w:vAlign w:val="bottom"/>
          </w:tcPr>
          <w:p>
            <w:pPr>
              <w:spacing w:after="0"/>
              <w:rPr>
                <w:sz w:val="15"/>
                <w:szCs w:val="15"/>
                <w:color w:val="auto"/>
              </w:rPr>
            </w:pPr>
          </w:p>
        </w:tc>
      </w:tr>
      <w:tr>
        <w:trPr>
          <w:trHeight w:val="493"/>
        </w:trPr>
        <w:tc>
          <w:tcPr>
            <w:tcW w:w="240" w:type="dxa"/>
            <w:vAlign w:val="bottom"/>
            <w:gridSpan w:val="2"/>
          </w:tcPr>
          <w:p>
            <w:pPr>
              <w:ind w:left="40"/>
              <w:spacing w:after="0"/>
              <w:rPr>
                <w:sz w:val="20"/>
                <w:szCs w:val="20"/>
                <w:color w:val="auto"/>
              </w:rPr>
            </w:pPr>
            <w:r>
              <w:rPr>
                <w:rFonts w:ascii="Arial" w:cs="Arial" w:eastAsia="Arial" w:hAnsi="Arial"/>
                <w:sz w:val="18"/>
                <w:szCs w:val="18"/>
                <w:color w:val="2B4C9B"/>
                <w:w w:val="89"/>
              </w:rPr>
              <w:t>21</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Borders>
              <w:top w:val="single" w:sz="8" w:color="2B4C9B"/>
            </w:tcBorders>
            <w:gridSpan w:val="4"/>
          </w:tcPr>
          <w:p>
            <w:pPr>
              <w:spacing w:after="0"/>
              <w:rPr>
                <w:sz w:val="20"/>
                <w:szCs w:val="20"/>
                <w:color w:val="auto"/>
              </w:rPr>
            </w:pPr>
            <w:r>
              <w:rPr>
                <w:rFonts w:ascii="Arial" w:cs="Arial" w:eastAsia="Arial" w:hAnsi="Arial"/>
                <w:sz w:val="18"/>
                <w:szCs w:val="18"/>
                <w:color w:val="2B4C9B"/>
              </w:rPr>
              <w:t>Subsidiaries of Registrant.</w:t>
            </w:r>
          </w:p>
        </w:tc>
        <w:tc>
          <w:tcPr>
            <w:tcW w:w="6280" w:type="dxa"/>
            <w:vAlign w:val="bottom"/>
            <w:gridSpan w:val="7"/>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shd w:val="clear" w:color="auto" w:fill="2B4C9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93"/>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23.</w:t>
            </w:r>
            <w:r>
              <w:rPr>
                <w:rFonts w:ascii="Arial" w:cs="Arial" w:eastAsia="Arial" w:hAnsi="Arial"/>
                <w:sz w:val="18"/>
                <w:szCs w:val="18"/>
                <w:u w:val="single" w:color="auto"/>
                <w:color w:val="2B4C9B"/>
                <w:w w:val="91"/>
              </w:rPr>
              <w:t>1</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Consent of Ernst &amp; Young LLP, Independent Registered Public Accounting Firm.</w:t>
            </w: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60" w:type="dxa"/>
            <w:vAlign w:val="bottom"/>
            <w:gridSpan w:val="2"/>
            <w:shd w:val="clear" w:color="auto" w:fill="2B4C9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93"/>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23.</w:t>
            </w:r>
            <w:r>
              <w:rPr>
                <w:rFonts w:ascii="Arial" w:cs="Arial" w:eastAsia="Arial" w:hAnsi="Arial"/>
                <w:sz w:val="18"/>
                <w:szCs w:val="18"/>
                <w:u w:val="single" w:color="auto"/>
                <w:color w:val="2B4C9B"/>
                <w:w w:val="91"/>
              </w:rPr>
              <w:t>2</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Consent of Deloitte &amp; Touche LLP, Independent Registered Public Accounting Firm.</w:t>
            </w: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320" w:type="dxa"/>
            <w:vAlign w:val="bottom"/>
            <w:gridSpan w:val="3"/>
            <w:shd w:val="clear" w:color="auto" w:fill="2B4C9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58"/>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1</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Certification of Chief Executive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5460" w:type="dxa"/>
            <w:vAlign w:val="bottom"/>
            <w:gridSpan w:val="4"/>
            <w:shd w:val="clear" w:color="auto" w:fill="2B4C9B"/>
          </w:tcPr>
          <w:p>
            <w:pPr>
              <w:spacing w:after="0" w:line="20" w:lineRule="exact"/>
              <w:rPr>
                <w:sz w:val="1"/>
                <w:szCs w:val="1"/>
                <w:color w:val="auto"/>
              </w:rPr>
            </w:pPr>
          </w:p>
        </w:tc>
        <w:tc>
          <w:tcPr>
            <w:tcW w:w="1520" w:type="dxa"/>
            <w:vAlign w:val="bottom"/>
            <w:tcBorders>
              <w:left w:val="single" w:sz="8" w:color="2B4C9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93"/>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2</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Certification of Chief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5460" w:type="dxa"/>
            <w:vAlign w:val="bottom"/>
            <w:gridSpan w:val="4"/>
            <w:shd w:val="clear" w:color="auto" w:fill="2B4C9B"/>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493"/>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1</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Certification of Chief Executive Officer pursuant to 18 U.S.C. Section 1350, as adopted pursuant to Section 906 of the</w:t>
            </w:r>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140" w:type="dxa"/>
            <w:vAlign w:val="bottom"/>
          </w:tcPr>
          <w:p>
            <w:pPr>
              <w:spacing w:after="0"/>
              <w:rPr>
                <w:sz w:val="15"/>
                <w:szCs w:val="15"/>
                <w:color w:val="auto"/>
              </w:rPr>
            </w:pPr>
          </w:p>
        </w:tc>
        <w:tc>
          <w:tcPr>
            <w:tcW w:w="2320" w:type="dxa"/>
            <w:vAlign w:val="bottom"/>
            <w:tcBorders>
              <w:top w:val="single" w:sz="8" w:color="2B4C9B"/>
              <w:bottom w:val="single" w:sz="8" w:color="2B4C9B"/>
            </w:tcBorders>
            <w:gridSpan w:val="3"/>
          </w:tcPr>
          <w:p>
            <w:pPr>
              <w:spacing w:after="0" w:line="182" w:lineRule="exact"/>
              <w:rPr>
                <w:sz w:val="20"/>
                <w:szCs w:val="20"/>
                <w:color w:val="auto"/>
              </w:rPr>
            </w:pPr>
            <w:r>
              <w:rPr>
                <w:rFonts w:ascii="Arial" w:cs="Arial" w:eastAsia="Arial" w:hAnsi="Arial"/>
                <w:sz w:val="18"/>
                <w:szCs w:val="18"/>
                <w:color w:val="2B4C9B"/>
                <w:w w:val="99"/>
              </w:rPr>
              <w:t>Sarbanes-Oxley Act of 2002.</w:t>
            </w:r>
          </w:p>
        </w:tc>
        <w:tc>
          <w:tcPr>
            <w:tcW w:w="7040" w:type="dxa"/>
            <w:vAlign w:val="bottom"/>
            <w:tcBorders>
              <w:top w:val="single" w:sz="8" w:color="2B4C9B"/>
            </w:tcBorders>
            <w:gridSpan w:val="6"/>
          </w:tcPr>
          <w:p>
            <w:pPr>
              <w:spacing w:after="0"/>
              <w:rPr>
                <w:sz w:val="15"/>
                <w:szCs w:val="15"/>
                <w:color w:val="auto"/>
              </w:rPr>
            </w:pPr>
          </w:p>
        </w:tc>
        <w:tc>
          <w:tcPr>
            <w:tcW w:w="520" w:type="dxa"/>
            <w:vAlign w:val="bottom"/>
            <w:gridSpan w:val="2"/>
          </w:tcPr>
          <w:p>
            <w:pPr>
              <w:spacing w:after="0"/>
              <w:rPr>
                <w:sz w:val="15"/>
                <w:szCs w:val="15"/>
                <w:color w:val="auto"/>
              </w:rPr>
            </w:pPr>
          </w:p>
        </w:tc>
      </w:tr>
      <w:tr>
        <w:trPr>
          <w:trHeight w:val="493"/>
        </w:trPr>
        <w:tc>
          <w:tcPr>
            <w:tcW w:w="380" w:type="dxa"/>
            <w:vAlign w:val="bottom"/>
            <w:gridSpan w:val="3"/>
          </w:tcPr>
          <w:p>
            <w:pPr>
              <w:ind w:left="40"/>
              <w:spacing w:after="0"/>
              <w:rPr>
                <w:sz w:val="20"/>
                <w:szCs w:val="20"/>
                <w:color w:val="auto"/>
              </w:rPr>
            </w:pPr>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2</w:t>
            </w:r>
          </w:p>
        </w:tc>
        <w:tc>
          <w:tcPr>
            <w:tcW w:w="1140" w:type="dxa"/>
            <w:vAlign w:val="bottom"/>
          </w:tcPr>
          <w:p>
            <w:pPr>
              <w:spacing w:after="0"/>
              <w:rPr>
                <w:sz w:val="24"/>
                <w:szCs w:val="24"/>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2B4C9B"/>
              </w:rPr>
              <w:t>Certification of Chief Financial Officer pursuant to 18 U.S.C. Section 1350, as adopted pursuant to Section 906 of the</w:t>
            </w:r>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140" w:type="dxa"/>
            <w:vAlign w:val="bottom"/>
          </w:tcPr>
          <w:p>
            <w:pPr>
              <w:spacing w:after="0"/>
              <w:rPr>
                <w:sz w:val="15"/>
                <w:szCs w:val="15"/>
                <w:color w:val="auto"/>
              </w:rPr>
            </w:pPr>
          </w:p>
        </w:tc>
        <w:tc>
          <w:tcPr>
            <w:tcW w:w="9300" w:type="dxa"/>
            <w:vAlign w:val="bottom"/>
            <w:tcBorders>
              <w:top w:val="single" w:sz="8" w:color="2B4C9B"/>
            </w:tcBorders>
            <w:gridSpan w:val="8"/>
          </w:tcPr>
          <w:p>
            <w:pPr>
              <w:spacing w:after="0" w:line="182" w:lineRule="exact"/>
              <w:rPr>
                <w:sz w:val="20"/>
                <w:szCs w:val="20"/>
                <w:color w:val="auto"/>
              </w:rPr>
            </w:pPr>
            <w:r>
              <w:rPr>
                <w:rFonts w:ascii="Arial" w:cs="Arial" w:eastAsia="Arial" w:hAnsi="Arial"/>
                <w:sz w:val="18"/>
                <w:szCs w:val="18"/>
                <w:color w:val="2B4C9B"/>
              </w:rPr>
              <w:t>Sarbanes-Oxley Act of 2002.</w:t>
            </w:r>
          </w:p>
        </w:tc>
        <w:tc>
          <w:tcPr>
            <w:tcW w:w="580" w:type="dxa"/>
            <w:vAlign w:val="bottom"/>
            <w:gridSpan w:val="3"/>
          </w:tcPr>
          <w:p>
            <w:pPr>
              <w:spacing w:after="0"/>
              <w:rPr>
                <w:sz w:val="15"/>
                <w:szCs w:val="15"/>
                <w:color w:val="auto"/>
              </w:rPr>
            </w:pPr>
          </w:p>
        </w:tc>
      </w:tr>
      <w:tr>
        <w:trPr>
          <w:trHeight w:val="534"/>
        </w:trPr>
        <w:tc>
          <w:tcPr>
            <w:tcW w:w="38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24"/>
                <w:szCs w:val="24"/>
                <w:color w:val="auto"/>
              </w:rPr>
            </w:pPr>
          </w:p>
        </w:tc>
        <w:tc>
          <w:tcPr>
            <w:tcW w:w="2300" w:type="dxa"/>
            <w:vAlign w:val="bottom"/>
            <w:tcBorders>
              <w:top w:val="single" w:sz="8" w:color="2B4C9B"/>
            </w:tcBorders>
            <w:gridSpan w:val="2"/>
          </w:tcPr>
          <w:p>
            <w:pPr>
              <w:spacing w:after="0"/>
              <w:rPr>
                <w:sz w:val="20"/>
                <w:szCs w:val="20"/>
                <w:color w:val="auto"/>
              </w:rPr>
            </w:pPr>
            <w:r>
              <w:rPr>
                <w:rFonts w:ascii="Arial" w:cs="Arial" w:eastAsia="Arial" w:hAnsi="Arial"/>
                <w:sz w:val="18"/>
                <w:szCs w:val="18"/>
                <w:color w:val="auto"/>
              </w:rPr>
              <w:t>Interactive Data File.</w:t>
            </w:r>
          </w:p>
        </w:tc>
        <w:tc>
          <w:tcPr>
            <w:tcW w:w="7580" w:type="dxa"/>
            <w:vAlign w:val="bottom"/>
            <w:gridSpan w:val="9"/>
          </w:tcPr>
          <w:p>
            <w:pPr>
              <w:spacing w:after="0"/>
              <w:rPr>
                <w:sz w:val="24"/>
                <w:szCs w:val="24"/>
                <w:color w:val="auto"/>
              </w:rPr>
            </w:pPr>
          </w:p>
        </w:tc>
      </w:tr>
    </w:tbl>
    <w:p>
      <w:pPr>
        <w:spacing w:after="0" w:line="17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Compensation Plans and Arrangements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F-46</w:t>
      </w:r>
    </w:p>
    <w:p>
      <w:pPr>
        <w:sectPr>
          <w:pgSz w:w="11900" w:h="16838" w:orient="portrait"/>
          <w:cols w:equalWidth="0" w:num="1">
            <w:col w:w="11400"/>
          </w:cols>
          <w:pgMar w:left="240" w:top="490" w:right="2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LONG TERM PERFORMANCE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Purpose.</w:t>
      </w:r>
    </w:p>
    <w:p>
      <w:pPr>
        <w:spacing w:after="0" w:line="22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purpose of this Science Applications International Corporation Third Amended and Restated 2012 Long Term Performance Plan, the successor to the Engility Holdings, Inc. Second Amended and Restated 2012 Long Term Performance Plan (the “Plan”), is to benefit the Corporation’s stockholders by encouraging high levels of performance by individuals who contribute to the success of the Corporation and its Subsidiaries and to enable the Corporation and its Subsidiaries to attract, motivate, retain and reward talented and experienced individuals. This purpose is to be accomplished by providing eligible individuals with an opportunity to obtain or increase a proprietary interest in the Corporation and/or by providing eligible individuals with additional incentives to join or remain with the Corporation and its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SECTION 2. Definitions; Rules of Construction.</w:t>
      </w:r>
    </w:p>
    <w:p>
      <w:pPr>
        <w:spacing w:after="0" w:line="225" w:lineRule="exact"/>
        <w:rPr>
          <w:sz w:val="20"/>
          <w:szCs w:val="20"/>
          <w:color w:val="auto"/>
        </w:rPr>
      </w:pPr>
    </w:p>
    <w:p>
      <w:pPr>
        <w:ind w:right="2480" w:firstLine="8"/>
        <w:spacing w:after="0" w:line="501"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Defined Terms. The terms defined in this Section shall have the following meanings for purposes of this Plan: “Award” means an award granted pursuant to Section 4.</w:t>
      </w:r>
    </w:p>
    <w:p>
      <w:pPr>
        <w:ind w:right="1040"/>
        <w:spacing w:after="0" w:line="262" w:lineRule="auto"/>
        <w:rPr>
          <w:sz w:val="20"/>
          <w:szCs w:val="20"/>
          <w:color w:val="auto"/>
        </w:rPr>
      </w:pPr>
      <w:r>
        <w:rPr>
          <w:rFonts w:ascii="Arial" w:cs="Arial" w:eastAsia="Arial" w:hAnsi="Arial"/>
          <w:sz w:val="18"/>
          <w:szCs w:val="18"/>
          <w:color w:val="auto"/>
        </w:rPr>
        <w:t>“Award Agreement” means an agreement described in Section 6 by the Corporation for the benefit of a Participant, setting forth (or incorporating by reference) the terms and conditions of an Award granted to a Participant.</w:t>
      </w:r>
    </w:p>
    <w:p>
      <w:pPr>
        <w:spacing w:after="0" w:line="1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“Beneficiary” means a person or persons (including a trust or trusts) validly designated by a Participant or, in the absence of a valid designation, entitled by will or the laws of descent and distribution, to receive the benefits specified in the Award Agreement and under this Plan in the event of a Participant’s death.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or “Board” means the Board of Directors of 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means change in control as defined in Section 7(c).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“Committee” means the Committee described in Section 8(a), or the Board if the Board takes an action in place of such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 means Science Applications International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 means a member of the Board of Directors of the Corporation.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“Employee” means any person, including an officer (whether or not also a director) in the regular full-time employment of the Corporation or any of its Subsidiaries who, in the opinion of the Committee is, or is expected to be, primarily responsible for the management, growth or protection of some part or all of the business of the Corporation or any of its Subsidiaries, but excludes, (i) in the case of an Incentive Stock Option, an Employee of any Subsidiary that is not a “subsidiary corporation” of the Corporation as defined in Code Section 424(f), and (ii) any Employee who was employed by the Corporation or any of Subsidiaries as of immediately prior to the consummation of the Corporation’s acquisition of Engility Holdings,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from time to time.</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“Executive Officer” means executive officer as defined in Rule 3b-7 under the Exchange Act. If the Board has designated the executive officers of the Corporation for purposes of reporting under the Exchange Act, the designation shall be conclusive for purposes of this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52" w:right="239" w:bottom="1440" w:gutter="0" w:footer="0" w:header="0"/>
        </w:sectPr>
      </w:pPr>
    </w:p>
    <w:bookmarkStart w:id="93" w:name="page94"/>
    <w:bookmarkEnd w:id="93"/>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“Fair Market Value” means the closing price of the relevant security as reported on the composite tape of New York Stock Exchange issues (or if, at the date of determination, the security is not so listed or if the principal market on which it is traded is not the New York Stock Exchange, such other reporting system as shall be selected by the Committee) on the relevant date, or, if no sale of the security is reported for that date, the next preceding day for which there is a reported sale. The Committee shall determine the Fair Market Value of any security that is not publicly traded, using criteria as it shall determine, in its sole direction, to be appropriate for the valuation.</w:t>
      </w:r>
    </w:p>
    <w:p>
      <w:pPr>
        <w:spacing w:after="0" w:line="20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“First Quarter” shall mean the period of calendar days during a given Performance Period that is equal to the lesser of (i) 25% of the full number of calendar days falling within such Performance Period or (ii) 90 days.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“Insider” means any person who is subject to Section 16(b) of the Exchange Act.</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“Minimum Ownership Stock” means any Award of shares of Stock of the Corporation that are issued, in accordance with Section 4(a)(5), in lieu of cash compensation in order to satisfy applicable stock ownership guidelines from time to time in effect.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 means a Director who is not an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a Nonqualified Stock Option or an Incentive Stock Option as described in Section 4(a)(1) or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a person who is granted an Award, pursuant to this Plan, that remains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Awards” is defined in Section 4(b).</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“Performance Goals” means one or more of the following criteria or any combination thereof, as determined by the Committee: (i) consolidated income before or after taxes (including income before interest, taxes, depreciation and amortization); (ii) EBT, EBIT or EBITDA; (iii) operating income or operating margin; (iv) net income; (v) net income or earnings per share of Stock; (vi) book value per share of Stock; (vii) return on equity or assets; (viii) expense management (including without limitation, total general and administrative expense percentages); (ix) return on investment or on invested capital; (x) improvements in capital structure; (xi) profitability of an identifiable business unit or product; (xii) maintenance or improvement of profit margins; (xiii) stock price; (xiv) market share; (xv) revenue or sales (including, without limitation, net loans charged off, average finance receivables and days sales outstanding); (xvi) costs (including, without limitation, total general and administrative expense percentage); (xvii) cash flow or net funds provided (including cash flow yield or cash flow per share); (xviii) working capital; (xix) total debt (including, without limitation, total debt as a multiple of EBIT or EBITDA), (xx) new business, recompete business and/or related win rates or business development targets; (xxi) orders or funded backlog, or book-to-bill ratios, and (xxi) total stockholder return. The foregoing criteria may relate to the Corporation, one or more of its Subsidiaries, one or more of their respective divisions or business units, or any combination of the foregoing, and may be applied on an absolute basis and/or be relative to one or more peer group companies or indices, or any combination thereof, and may be determined in accordance with GAAP or a non-GAAP or adjusted GAAP basis, all as the Committee shall determine.</w:t>
      </w:r>
    </w:p>
    <w:p>
      <w:pPr>
        <w:spacing w:after="0" w:line="21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“Performance Period” means, with respect to any Performance Goal, the time period established by the Committee for the achievement of the performance targets in respect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“Rule 16b-3” means Rule 16b-3 under Section 16 of the Exchange Act, as amended from time to time.</w:t>
      </w:r>
    </w:p>
    <w:p>
      <w:pPr>
        <w:spacing w:after="0" w:line="225"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“Share Units” means the number of units under an Award (or portion thereof) that is payable solely in cash or is actually paid in cash, determined by reference to the number of shares of Stock by which the Award (or portion thereof) is measured.</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“Stock” means shares of Common Stock of the Corporation, par value $0.01 per share, subject to adjustments made under Section 7 or by operation of law.</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“Subsidiary” means, as to any person, any corporation, association, partnership, joint venture or other business entity of which 50% or more of the voting stock or other equity interests (in the case of entities other than</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1440" w:right="299" w:bottom="1440" w:gutter="0" w:footer="0" w:header="0"/>
        </w:sectPr>
      </w:pPr>
    </w:p>
    <w:bookmarkStart w:id="94" w:name="page95"/>
    <w:bookmarkEnd w:id="94"/>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corporations), is owned or controlled (directly or indirectly) by that entity, or by one or more of the Subsidiaries of that entity, or by a combination thereof.</w:t>
      </w:r>
    </w:p>
    <w:p>
      <w:pPr>
        <w:spacing w:after="0" w:line="196" w:lineRule="exact"/>
        <w:rPr>
          <w:sz w:val="20"/>
          <w:szCs w:val="20"/>
          <w:color w:val="auto"/>
        </w:rPr>
      </w:pPr>
    </w:p>
    <w:p>
      <w:pPr>
        <w:ind w:right="14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of Construction. For purposes of this Plan and the Award Agreements, unless otherwise expressly provided or the context otherwise requires, the terms defined in this Plan include the plural and the singular, and pronouns of either gender or neuter shall include, as appropriate, the other pronoun forms.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SECTION 3. Eligibility.</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Any one or more Awards may be granted to any Employee, Director or any other non-Employee who provides services to or on behalf of the Corporation or any of its Subsidiaries, who is designated by the Committee to receive an Award, other than any Employee who was employed by the Corporation or any of Subsidiaries as of immediately prior to the consummation of the Corporation’s acquisition of Engility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SECTION 4. Awards.</w:t>
      </w:r>
    </w:p>
    <w:p>
      <w:pPr>
        <w:spacing w:after="0" w:line="225" w:lineRule="exact"/>
        <w:rPr>
          <w:sz w:val="20"/>
          <w:szCs w:val="20"/>
          <w:color w:val="auto"/>
        </w:rPr>
      </w:pPr>
    </w:p>
    <w:p>
      <w:pPr>
        <w:ind w:right="60" w:firstLine="8"/>
        <w:spacing w:after="0" w:line="262"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Awards. The Committee may from time to time grant any of the following types of Awards, either singly, in tandem or in combination with other Awards:</w:t>
      </w:r>
    </w:p>
    <w:p>
      <w:pPr>
        <w:spacing w:after="0" w:line="196" w:lineRule="exact"/>
        <w:rPr>
          <w:sz w:val="20"/>
          <w:szCs w:val="20"/>
          <w:color w:val="auto"/>
        </w:rPr>
      </w:pPr>
    </w:p>
    <w:p>
      <w:pPr>
        <w:ind w:right="120" w:firstLine="8"/>
        <w:spacing w:after="0" w:line="25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Nonqualified Stock Options. A Nonqualified Stock Option is an Award in the form of an option to purchase Stock that is not intended to comply with the requirements of Code Section 422. Except with respect to Substitute Awards described in Section 7(d), the exercise price of each Nonqualified Stock Option granted under this Plan shall not be less than the Fair Market Value of the Stock on the date that the Option is granted.</w:t>
      </w:r>
    </w:p>
    <w:p>
      <w:pPr>
        <w:spacing w:after="0" w:line="204" w:lineRule="exact"/>
        <w:rPr>
          <w:rFonts w:ascii="Arial" w:cs="Arial" w:eastAsia="Arial" w:hAnsi="Arial"/>
          <w:sz w:val="18"/>
          <w:szCs w:val="18"/>
          <w:color w:val="auto"/>
        </w:rPr>
      </w:pPr>
    </w:p>
    <w:p>
      <w:pPr>
        <w:ind w:right="20" w:firstLine="8"/>
        <w:spacing w:after="0" w:line="251"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Stock Options. An Incentive Stock Option is an Award in the form of an option to purchase Stock that is intended to comply with the requirements of Code Section 422 or any successor section thereof. The exercise price of each Incentive Stock Option granted under this Plan shall not be less than the Fair Market Value of the Stock on the date the Option is granted. If a Participant on the date an Incentive Stock Option is granted owns, directly or indirectly within the meaning of Code Section 424(d), stock possessing more than ten percent (10%) of the total combined voting power of all classes of stock of the Corporation, the exercise price per share of the Incentive Stock Option shall not be less than one hundred and ten percent (110%) of the Fair Market Value per share of the Stock at the time of grant, and such Incentive Stock Option shall not be exercisable after the expiration of five (5) years from the date such Incentive Stock Option is granted. To the extent that the aggregate Fair Market Value of Stock with respect to which one or more incentive stock options first become exercisable by a Participant in any calendar year exceeds $100,000, taking into account both Stock subject to Incentive Stock Options under this Plan and stock subject to incentive stock options under all other plans of the Corporation or of other entities referenced in Code Section 422(d)(1), the options shall be treated as Nonqualified Stock Options. For this purpose, the Fair Market Value of the Stock subject to options shall be determined as of the date the Options were granted.</w:t>
      </w:r>
    </w:p>
    <w:p>
      <w:pPr>
        <w:spacing w:after="0" w:line="211" w:lineRule="exact"/>
        <w:rPr>
          <w:rFonts w:ascii="Arial" w:cs="Arial" w:eastAsia="Arial" w:hAnsi="Arial"/>
          <w:sz w:val="18"/>
          <w:szCs w:val="18"/>
          <w:color w:val="auto"/>
        </w:rPr>
      </w:pPr>
    </w:p>
    <w:p>
      <w:pPr>
        <w:ind w:right="40" w:firstLine="8"/>
        <w:spacing w:after="0" w:line="25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Appreciation Rights. A Stock Appreciation Right is an Award in the form of a right to receive, upon surrender of the right, but without other payment, an amount based on the appreciation in the value of the Stock or the Option over a base price established in the Award, payable in cash, Stock or such other form or combination of forms of payout, at times and upon conditions (which may include a Change in Control), as may be approved by the Committee. Except with respect to Substitute Awards described in Section 7(d), the minimum base price of a Stock Appreciation Right granted under this Plan shall not be less than the Fair Market Value of the underlying Stock on the date the Stock Appreciation Right is granted.</w:t>
      </w:r>
    </w:p>
    <w:p>
      <w:pPr>
        <w:spacing w:after="0" w:line="208" w:lineRule="exact"/>
        <w:rPr>
          <w:rFonts w:ascii="Arial" w:cs="Arial" w:eastAsia="Arial" w:hAnsi="Arial"/>
          <w:sz w:val="18"/>
          <w:szCs w:val="18"/>
          <w:color w:val="auto"/>
        </w:rPr>
      </w:pPr>
    </w:p>
    <w:p>
      <w:pPr>
        <w:ind w:right="60" w:firstLine="8"/>
        <w:spacing w:after="0" w:line="26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Restricted Stock is an Award of issued shares of Stock of the Corporation (other than Minimum Ownership Stock) that are subject to restrictions on transfer and/or such other restrictions on incidents of ownership as the Committee may determine.</w:t>
      </w:r>
    </w:p>
    <w:p>
      <w:pPr>
        <w:spacing w:after="0" w:line="196" w:lineRule="exact"/>
        <w:rPr>
          <w:rFonts w:ascii="Arial" w:cs="Arial" w:eastAsia="Arial" w:hAnsi="Arial"/>
          <w:sz w:val="18"/>
          <w:szCs w:val="18"/>
          <w:color w:val="auto"/>
        </w:rPr>
      </w:pPr>
    </w:p>
    <w:p>
      <w:pPr>
        <w:ind w:right="260" w:firstLine="8"/>
        <w:spacing w:after="0" w:line="25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Units. A Restricted Stock Unit means rights granted to a Participant under Section 4(a) representing a number of hypothetical shares of Stock. Each Restricted Stock Unit shall represent the right of a Grantee to receive a payment upon vesting of the Restricted Stock Unit or on any later date specified by the Committee equal to the Fair Market Value of a share of Stock as of the date the Restricted Stock Unit was granted, the vesting date or such other date as determined by the Committee at the time the Restricted Stock Unit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40" w:right="239" w:bottom="1440" w:gutter="0" w:footer="0" w:header="0"/>
        </w:sectPr>
      </w:pPr>
    </w:p>
    <w:bookmarkStart w:id="95" w:name="page96"/>
    <w:bookmarkEnd w:id="95"/>
    <w:p>
      <w:pPr>
        <w:spacing w:after="0" w:line="1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was granted. The Committee may, at the time a Restricted Stock Unit is granted, provide a limitation on the amount payable in respect of each Restricted Stock Unit. The Committee may provide for the settlement of Restricted Stock Units in cash or with Stock having a Fair Market Value equal to the payment to which the Participant has become entitled.</w:t>
      </w:r>
    </w:p>
    <w:p>
      <w:pPr>
        <w:spacing w:after="0" w:line="202" w:lineRule="exact"/>
        <w:rPr>
          <w:sz w:val="20"/>
          <w:szCs w:val="20"/>
          <w:color w:val="auto"/>
        </w:rPr>
      </w:pPr>
    </w:p>
    <w:p>
      <w:pPr>
        <w:ind w:right="80" w:firstLine="8"/>
        <w:spacing w:after="0" w:line="252"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Share-Based Awards. The Committee may from time to time grant Awards under this Plan that provide the Participants with Stock or the right to purchase or receive Stock, or provide other incentive Awards (including, but not limited to, Minimum Ownership Stock, Share Units, phantom stock or units, performance stock or units, bonus stock, dividend equivalent units, or similar securities or rights) that have a value derived from the value of, or an exercise or conversion privilege at a price related to, or that are otherwise payable in shares of Stock. The Awards shall be in a form determined by the Committee, provided that the Awards shall not be inconsistent with the other express terms of this Plan applicable to such Awards.</w:t>
      </w:r>
    </w:p>
    <w:p>
      <w:pPr>
        <w:spacing w:after="0" w:line="209" w:lineRule="exact"/>
        <w:rPr>
          <w:sz w:val="20"/>
          <w:szCs w:val="20"/>
          <w:color w:val="auto"/>
        </w:rPr>
      </w:pPr>
    </w:p>
    <w:p>
      <w:pPr>
        <w:ind w:right="20" w:firstLine="8"/>
        <w:spacing w:after="0" w:line="251"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Performance-Based Awards. Without limiting the generality of the foregoing, Awards denominated in cash or any of the type of Awards listed in Section 4(a) may be granted as awards that satisfy the requirements for “performance-based compensation” within the meaning of Code Section 162(m) (“Performance-Based Awards”), the grant, vesting, exercisability or payment of which may depend on the degree of achievement of the Performance Goals relative to preestablished targeted levels for the Corporation or any of its Subsidiaries, divisions or other business units. Performance-Based Awards shall be subject to the requirements of clauses (1) through (7) below, except that notwithstanding anything contained in this Section 4(b) to the contrary, any Option or Stock Appreciation Right intended to qualify as a Performance-Based Award shall not be subject to the requirements of clauses (2), (4), (5) and (6) below (with such Awards hereinafter referred to as a “Qualifying Option” or a “Qualifying Stock Appreciation Right”, respectively). An Award that is intended to satisfy the requirements of this Section 4(b) shall be designated as a Performance-Based Award at the time of grant.</w:t>
      </w:r>
    </w:p>
    <w:p>
      <w:pPr>
        <w:spacing w:after="0" w:line="21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Eligible Class. The eligible class of persons for Awards under this Section 4(b) shall be all Employees.</w:t>
      </w:r>
    </w:p>
    <w:p>
      <w:pPr>
        <w:spacing w:after="0" w:line="225" w:lineRule="exact"/>
        <w:rPr>
          <w:rFonts w:ascii="Arial" w:cs="Arial" w:eastAsia="Arial" w:hAnsi="Arial"/>
          <w:sz w:val="18"/>
          <w:szCs w:val="18"/>
          <w:color w:val="auto"/>
        </w:rPr>
      </w:pPr>
    </w:p>
    <w:p>
      <w:pPr>
        <w:ind w:firstLine="8"/>
        <w:spacing w:after="0" w:line="251"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Goals. The performance goals for any Awards under this Section 4(b) (other than Qualifying Options and Qualifying Stock Appreciation Rights) shall be, on an absolute or relative basis, one or more of the Performance Goals. The Committee shall establish the Performance Goals and the Performance Periods for which they must be satisfied in order for a Participant to receive any portion of the Award. The specific performance target(s) with respect to Performance Goal(s) must be established by the Committee no later than the last day of the First Quarter of a given Performance Period (or such other date as may be required or permitted under Section 162(m) of the Code) and while the performance relating to the Performance Goal(s) remains substantially uncertain. The Committee may establish different performance objectives for each Performance Period, and may provide for multiple, overlapping Performance Periods hereunder. The Committee may provide, at the time when performance objectives are established with respect to a Performance Period (or at such later date as may be permitted under Section 162(m) of the Code), for the adjustment of such performance objectives as it deems equitable in recognition of unusual or infrequently occurring events affecting the Corporation, gain or loss on a disposal of a business segment, changes in applicable tax laws or accounting principles, or such other factors as the Committee may determine to be appropriate.</w:t>
      </w:r>
    </w:p>
    <w:p>
      <w:pPr>
        <w:spacing w:after="0" w:line="211" w:lineRule="exact"/>
        <w:rPr>
          <w:rFonts w:ascii="Arial" w:cs="Arial" w:eastAsia="Arial" w:hAnsi="Arial"/>
          <w:sz w:val="18"/>
          <w:szCs w:val="18"/>
          <w:color w:val="auto"/>
        </w:rPr>
      </w:pPr>
    </w:p>
    <w:p>
      <w:pPr>
        <w:ind w:right="40" w:firstLine="8"/>
        <w:spacing w:after="0" w:line="252"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Individual Limits. The maximum number of shares of Stock subject to all Qualifying Options and Qualifying Stock Appreciation Rights granted during a calendar year to any Employee shall be 315,000, and the maximum number of shares of Stock or Share Units that are subject to other Performance-Based Awards granted during a calendar year to an Employee shall be 315,000, in each case subject to adjustment as provided in Section 7. The maximum cash value of all Performance-Based Awards whose value is not determined by reference to shares of Stock that may be granted under the Plan in any calendar year is $5,000,000. Awards that are cancelled during the year shall be counted against these limits to the extent required by Code Section 162(m).</w:t>
      </w:r>
    </w:p>
    <w:p>
      <w:pPr>
        <w:spacing w:after="0" w:line="208" w:lineRule="exact"/>
        <w:rPr>
          <w:rFonts w:ascii="Arial" w:cs="Arial" w:eastAsia="Arial" w:hAnsi="Arial"/>
          <w:sz w:val="18"/>
          <w:szCs w:val="18"/>
          <w:color w:val="auto"/>
        </w:rPr>
      </w:pPr>
    </w:p>
    <w:p>
      <w:pPr>
        <w:ind w:right="80" w:firstLine="8"/>
        <w:spacing w:after="0" w:line="253"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Committee Certification. Before any Performance-Based Award under this Section 4(b) (other than Qualifying Options and Qualifying Stock Appreciation Rights) is paid, the Committee must certify in writing (by resolution or otherwise) that the applicable Performance Goal(s) and any other material terms of the Performance-Based Award were satisfied; provided, however, that a Performance-Based Award may be paid without regard to the satisfaction of the applicable Performance Goal in the event of the Participant’s death or permanent disability or in the event of a Change in Control as provided in Section 7(b).</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40" w:right="239" w:bottom="1440" w:gutter="0" w:footer="0" w:header="0"/>
        </w:sectPr>
      </w:pPr>
    </w:p>
    <w:bookmarkStart w:id="96" w:name="page97"/>
    <w:bookmarkEnd w:id="96"/>
    <w:p>
      <w:pPr>
        <w:spacing w:after="0" w:line="104" w:lineRule="exact"/>
        <w:rPr>
          <w:sz w:val="20"/>
          <w:szCs w:val="20"/>
          <w:color w:val="auto"/>
        </w:rPr>
      </w:pPr>
    </w:p>
    <w:p>
      <w:pPr>
        <w:jc w:val="both"/>
        <w:ind w:right="20" w:firstLine="8"/>
        <w:spacing w:after="0" w:line="254"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Terms and Conditions of Awards; Committee Discretion to Reduce Performance Awards. The Committee shall have discretion to determine the conditions, restrictions or other limitations, in accordance with the terms of this Plan and Code Section 162(m), on the payment of individual Performance-Based Awards under this Section 4(b). The Committee may reserve the right to reduce the amount payable in accordance with any standards or on any other basis (including the Committee’s discretion), as the Committee may impose.</w:t>
      </w:r>
    </w:p>
    <w:p>
      <w:pPr>
        <w:spacing w:after="0" w:line="204" w:lineRule="exact"/>
        <w:rPr>
          <w:rFonts w:ascii="Arial" w:cs="Arial" w:eastAsia="Arial" w:hAnsi="Arial"/>
          <w:sz w:val="18"/>
          <w:szCs w:val="18"/>
          <w:color w:val="auto"/>
        </w:rPr>
      </w:pPr>
    </w:p>
    <w:p>
      <w:pPr>
        <w:ind w:right="120" w:firstLine="8"/>
        <w:spacing w:after="0" w:line="254"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Interpretation. Except as specifically provided in this Section 4(b), the provisions of this Section 4(b) shall be interpreted and administered by the Committee in a manner consistent with the requirements for exemption of Performance-Based Awards granted to Executive Officers as “performance-based compensation” under Code Section 162(m) and regulations and other interpretations issued by the Internal Revenue Service thereunder.</w:t>
      </w:r>
    </w:p>
    <w:p>
      <w:pPr>
        <w:spacing w:after="0" w:line="204" w:lineRule="exact"/>
        <w:rPr>
          <w:sz w:val="20"/>
          <w:szCs w:val="20"/>
          <w:color w:val="auto"/>
        </w:rPr>
      </w:pPr>
    </w:p>
    <w:p>
      <w:pPr>
        <w:ind w:firstLine="8"/>
        <w:spacing w:after="0" w:line="252"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Non-Employee Directors. The Board may provide that all or a portion of a Non-Employee Director’s annual retainer, meeting fees and/or other awards or compensation as determined by the Board, be payable (either automatically or at the election of a Non-Employee Director) in the form of Non-Qualified Stock Options, Stock Appreciation Rights, Restricted Stock or Other Share-Based Awards, including unrestricted Stock and Share Units. The Board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SECTION 5. Shares of Stock Available Under Plan.</w:t>
      </w:r>
    </w:p>
    <w:p>
      <w:pPr>
        <w:spacing w:after="0" w:line="225" w:lineRule="exact"/>
        <w:rPr>
          <w:sz w:val="20"/>
          <w:szCs w:val="20"/>
          <w:color w:val="auto"/>
        </w:rPr>
      </w:pPr>
    </w:p>
    <w:p>
      <w:pPr>
        <w:ind w:right="60" w:firstLine="8"/>
        <w:spacing w:after="0" w:line="254"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Limits on Shares. (i) Subject to adjustment as provided in Section 5(b), Section 5(c) or Section 7, the maximum number of shares of Stock that may be issued pursuant to all Awards under the Plan (including Awards outstanding immediately after the effective time of the merger by and among SAIC, Engility Holdings, Inc., and Raptors Merger Sub, Inc.) is 1,198,010 (the “Share Reserve”); and (ii) the maximum number of shares of Stock that may be issued pursuant to all Awards of Incentive Stock Options is 1,198,010.</w:t>
      </w:r>
    </w:p>
    <w:p>
      <w:pPr>
        <w:spacing w:after="0" w:line="204" w:lineRule="exact"/>
        <w:rPr>
          <w:rFonts w:ascii="Arial" w:cs="Arial" w:eastAsia="Arial" w:hAnsi="Arial"/>
          <w:sz w:val="18"/>
          <w:szCs w:val="18"/>
          <w:color w:val="auto"/>
        </w:rPr>
      </w:pPr>
    </w:p>
    <w:p>
      <w:pPr>
        <w:ind w:right="60" w:firstLine="8"/>
        <w:spacing w:after="0" w:line="256"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Usage for Full Value Awards. Solely for purposes of calculating the number of shares of Stock available for Award grants pursuant to Section 5(a)(i), each share of Stock subject to Awards granted pursuant to the Plan shall be counted as one and sixty eight one-hundredths (1.68) shares, other than Awards of Options and Stock Appreciation Rights which shall continue to be counted as one (1) share.</w:t>
      </w:r>
    </w:p>
    <w:p>
      <w:pPr>
        <w:spacing w:after="0" w:line="201" w:lineRule="exact"/>
        <w:rPr>
          <w:rFonts w:ascii="Arial" w:cs="Arial" w:eastAsia="Arial" w:hAnsi="Arial"/>
          <w:sz w:val="18"/>
          <w:szCs w:val="18"/>
          <w:color w:val="auto"/>
        </w:rPr>
      </w:pPr>
    </w:p>
    <w:p>
      <w:pPr>
        <w:ind w:firstLine="8"/>
        <w:spacing w:after="0" w:line="251"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Addbacks of Shares. Any unexercised, unconverted or undistributed portion of any expired, cancelled, terminated or forfeited Award shall again be available for grants of Awards under Section 5(a), whether or not the Participant has received benefits of ownership (such as dividends or dividend equivalents or voting rights) during the period in which the Participant’s ownership was restricted or otherwise not vested. To the extent an Award is settled in cash in lieu of issuing shares of Stock subject thereto, the number of shares of Stock subject to such an Award (or portion thereof) may again be available for grants of Awards under the Plan. In the event that withholding tax liabilities arising from an Award other than an Option or Stock Appreciation Right are satisfied by the tendering of shares (either actually or by attestation) or by the withholding of shares by the Corporation, the shares so tendered or withheld shall again be available for grants of Awards under the Plan. The foregoing provisions of this Section 5(c) shall be added back on the basis set forth in Section 5(d) below. For the avoidance of doubt, the following shares of Stock shall not become available for Awards under the Plan: (1) shares tendered by Participants or withheld by the Corporation as full or partial payment to the Corporation upon exercise of Options or other Awards granted under the Plan; (2) shares of Stock reserved for issuance upon the grant of Stock Appreciation Rights, to the extent the number of reserved shares exceeds the number of shares actually issued upon exercise of the Stock Appreciation Rights under the Plan; (3) shares withheld by, or otherwise remitted to, the Corporation to satisfy a Participant’s tax withholding obligations upon the exercise of Options or Stock Appreciation Rights under the Plan; and (4) shares of Stock reacquired by the Corporation on the open market or otherwise using cash proceeds from the exercise of Options under the Plan.</w:t>
      </w:r>
    </w:p>
    <w:p>
      <w:pPr>
        <w:spacing w:after="0" w:line="210"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shares of Stock that again become available for grant pursuant to Section 5(c) shall be added back as (i) one (1) share for every one</w:t>
      </w:r>
    </w:p>
    <w:p>
      <w:pPr>
        <w:spacing w:after="0" w:line="9" w:lineRule="exact"/>
        <w:rPr>
          <w:rFonts w:ascii="Arial" w:cs="Arial" w:eastAsia="Arial" w:hAnsi="Arial"/>
          <w:sz w:val="18"/>
          <w:szCs w:val="18"/>
          <w:color w:val="auto"/>
        </w:rPr>
      </w:pPr>
    </w:p>
    <w:p>
      <w:pPr>
        <w:ind w:right="400"/>
        <w:spacing w:after="0" w:line="262" w:lineRule="auto"/>
        <w:rPr>
          <w:rFonts w:ascii="Arial" w:cs="Arial" w:eastAsia="Arial" w:hAnsi="Arial"/>
          <w:sz w:val="18"/>
          <w:szCs w:val="18"/>
          <w:color w:val="auto"/>
        </w:rPr>
      </w:pPr>
      <w:r>
        <w:rPr>
          <w:rFonts w:ascii="Arial" w:cs="Arial" w:eastAsia="Arial" w:hAnsi="Arial"/>
          <w:sz w:val="18"/>
          <w:szCs w:val="18"/>
          <w:color w:val="auto"/>
        </w:rPr>
        <w:t>(1) share subject to Options or Stock Appreciation Rights granted under the Plan, and (ii) as 1.68 shares for every one (1) share subject to Awards other than Options or Stock Appreciation Rights granted under the Plan.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1440" w:right="259" w:bottom="1440" w:gutter="0" w:footer="0" w:header="0"/>
        </w:sectPr>
      </w:pPr>
    </w:p>
    <w:bookmarkStart w:id="97" w:name="page98"/>
    <w:bookmarkEnd w:id="97"/>
    <w:p>
      <w:pPr>
        <w:spacing w:after="0" w:line="104" w:lineRule="exact"/>
        <w:rPr>
          <w:sz w:val="20"/>
          <w:szCs w:val="20"/>
          <w:color w:val="auto"/>
        </w:rPr>
      </w:pPr>
    </w:p>
    <w:p>
      <w:pPr>
        <w:ind w:right="40" w:firstLine="8"/>
        <w:spacing w:after="0" w:line="253"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Treasury Shares; No Fractional Shares. The Stock which may be issued (which term includes Stock reissued or otherwise delivered) pursuant to an Award under this Plan may be treasury or authorized but unissued Stock or Stock acquired, subsequently or in anticipation of a transaction under this Plan, in the open market or in privately negotiated transactions to satisfy the requirements of this Plan. No fractional shares shall be issued but fractional interests may be accumulated and any such accumulated fractional interests shall be rounded down to the nearest whole share.</w:t>
      </w:r>
    </w:p>
    <w:p>
      <w:pPr>
        <w:spacing w:after="0" w:line="205" w:lineRule="exact"/>
        <w:rPr>
          <w:rFonts w:ascii="Arial" w:cs="Arial" w:eastAsia="Arial" w:hAnsi="Arial"/>
          <w:sz w:val="18"/>
          <w:szCs w:val="18"/>
          <w:color w:val="auto"/>
        </w:rPr>
      </w:pPr>
    </w:p>
    <w:p>
      <w:pPr>
        <w:jc w:val="both"/>
        <w:ind w:right="200" w:firstLine="8"/>
        <w:spacing w:after="0" w:line="250"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Consideration. The Stock issued under this Plan may be issued (subject to Section 10(d)) for any lawful form of consideration, the value of which equals the par value of the Stock or such greater or lesser value as the Committee, consistent with Sections 10(d) and 4(a)(1), (2) and</w:t>
      </w:r>
    </w:p>
    <w:p>
      <w:pPr>
        <w:spacing w:after="0"/>
        <w:rPr>
          <w:rFonts w:ascii="Arial" w:cs="Arial" w:eastAsia="Arial" w:hAnsi="Arial"/>
          <w:sz w:val="18"/>
          <w:szCs w:val="18"/>
          <w:color w:val="auto"/>
        </w:rPr>
      </w:pPr>
      <w:r>
        <w:rPr>
          <w:rFonts w:ascii="Arial" w:cs="Arial" w:eastAsia="Arial" w:hAnsi="Arial"/>
          <w:sz w:val="18"/>
          <w:szCs w:val="18"/>
          <w:color w:val="auto"/>
        </w:rPr>
        <w:t>(3), may require.</w:t>
      </w:r>
    </w:p>
    <w:p>
      <w:pPr>
        <w:spacing w:after="0" w:line="225" w:lineRule="exact"/>
        <w:rPr>
          <w:rFonts w:ascii="Arial" w:cs="Arial" w:eastAsia="Arial" w:hAnsi="Arial"/>
          <w:sz w:val="18"/>
          <w:szCs w:val="18"/>
          <w:color w:val="auto"/>
        </w:rPr>
      </w:pPr>
    </w:p>
    <w:p>
      <w:pPr>
        <w:ind w:firstLine="8"/>
        <w:spacing w:after="0" w:line="252"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or Exercise Price; Withholding. The exercise or purchase price (if any) of the Stock issuable pursuant to any Award and any withholding obligation under applicable tax laws shall be paid at or prior to the time of the delivery of such Stock in cash or, subject to the Committee’s express authorization and the restrictions, conditions and procedures as the Committee may impose, any one or combination of (i) cash, (ii) the delivery of shares of Stock, or (iii) a reduction in the amount of Stock or other amounts otherwise issuable or payable pursuant to such Award. In the case of a payment by the means described in clause (ii) or (iii) above, the Stock to be so delivered or offset shall be determined by reference to the Fair Market Value of the Stock on the date as of which the payment or offset is made, and any shares of Stock so tendered or withheld for taxes will be at the minimum statutory rate, or if permitted by the Corporation, such other rate as will not cause adverse accounting consequences and is permitted under applicable withholding rules.</w:t>
      </w:r>
    </w:p>
    <w:p>
      <w:pPr>
        <w:spacing w:after="0" w:line="206" w:lineRule="exact"/>
        <w:rPr>
          <w:rFonts w:ascii="Arial" w:cs="Arial" w:eastAsia="Arial" w:hAnsi="Arial"/>
          <w:sz w:val="18"/>
          <w:szCs w:val="18"/>
          <w:color w:val="auto"/>
        </w:rPr>
      </w:pPr>
    </w:p>
    <w:p>
      <w:pPr>
        <w:ind w:right="20" w:firstLine="8"/>
        <w:spacing w:after="0" w:line="254"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Cashless Exercise. The Committee may also permit the exercise of the Award and payment of any applicable withholding tax in respect of an Award by delivery of written notice, subject to the Corporation’s receipt of a third party payment in full in cash (or in such other form as permitted under Section 5(f)) for the exercise price and the applicable withholding at or prior to the time of issuance of Stock, in the manner and subject to the procedures as may be established by the Committee.</w:t>
      </w:r>
    </w:p>
    <w:p>
      <w:pPr>
        <w:spacing w:after="0" w:line="204" w:lineRule="exact"/>
        <w:rPr>
          <w:rFonts w:ascii="Arial" w:cs="Arial" w:eastAsia="Arial" w:hAnsi="Arial"/>
          <w:sz w:val="18"/>
          <w:szCs w:val="18"/>
          <w:color w:val="auto"/>
        </w:rPr>
      </w:pPr>
    </w:p>
    <w:p>
      <w:pPr>
        <w:ind w:right="120" w:firstLine="8"/>
        <w:spacing w:after="0" w:line="252" w:lineRule="auto"/>
        <w:tabs>
          <w:tab w:leader="none" w:pos="2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Director Grants. Notwithstanding anything herein to the contrary, the aggregate value of all compensation paid or granted, as applicable, to any individual for service as a Non-Employee Director with respect to any calendar year, including equity Awards granted and cash fees paid by the Corporation to such Non-Employee Director, shall not exceed five hundred thousand dollars ($500,000) in value, calculating the value of any equity Awards granted during such calendar year based on the grant date fair value of such Awards for financial reporting purposes. The Board may make exceptions to the applicable limit in this Section 10.3 for individual Non-Employee Directors in extraordinary circumstances, such as where any such individual Non-Employee Directors are serving on a special litigation, transactions or other special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SECTION 6. Award Agreements.</w:t>
      </w:r>
    </w:p>
    <w:p>
      <w:pPr>
        <w:spacing w:after="0" w:line="22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Each Award under this Plan shall be evidenced by an Award Agreement in a form approved by the Committee setting forth the number of shares of Stock or Share Units, as applicable, subject to the Award, and the price (if any) and term of the Award and, in the case of Performance-Based Awards, the applicable Performance Goals, if any. The Award Agreement shall also set forth (or incorporate by reference) other material terms and conditions applicable to the Award as determined by the Committee consistent with the limitations of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Incorporated Provisions. Award Agreements shall be subject to the terms of this Plan and shall be deemed to include the following terms:</w:t>
      </w:r>
    </w:p>
    <w:p>
      <w:pPr>
        <w:spacing w:after="0" w:line="225" w:lineRule="exact"/>
        <w:rPr>
          <w:sz w:val="20"/>
          <w:szCs w:val="20"/>
          <w:color w:val="auto"/>
        </w:rPr>
      </w:pPr>
    </w:p>
    <w:p>
      <w:pPr>
        <w:jc w:val="both"/>
        <w:ind w:right="160" w:firstLine="8"/>
        <w:spacing w:after="0" w:line="254"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Transferability: Unless otherwise designated by the Committee, an Award shall not be assignable or transferable, except by will or by the laws of descent and distribution, and during the lifetime of a Participant the Award shall be exercised only by such Participant or by his or her guardian or legal representative; provided, that the Committee shall not have the authority to provide for transfers for consideration. An Award exercisable after the death of a Participant may be exercised by the legatees, personal representatives or distributees of the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40" w:right="239" w:bottom="1440" w:gutter="0" w:footer="0" w:header="0"/>
        </w:sectPr>
      </w:pPr>
    </w:p>
    <w:bookmarkStart w:id="98" w:name="page99"/>
    <w:bookmarkEnd w:id="98"/>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Participant. The designation of a Beneficiary hereunder shall not constitute a transfer prohibited by the foregoing provisions.</w:t>
      </w:r>
    </w:p>
    <w:p>
      <w:pPr>
        <w:spacing w:after="0" w:line="225" w:lineRule="exact"/>
        <w:rPr>
          <w:sz w:val="20"/>
          <w:szCs w:val="20"/>
          <w:color w:val="auto"/>
        </w:rPr>
      </w:pPr>
    </w:p>
    <w:p>
      <w:pPr>
        <w:ind w:right="100" w:firstLine="8"/>
        <w:spacing w:after="0" w:line="254"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Rights as Stockholder: A Participant shall have no rights as a holder of Stock with respect to any unissued securities covered by an Award until the date the Participant becomes the holder of record of these securities. Except as provided in Section 7, no adjustment or other provision shall be made for dividends or other stockholder rights, except to the extent that the Award Agreement provides for dividend equivalents or similar economic benefits.</w:t>
      </w:r>
    </w:p>
    <w:p>
      <w:pPr>
        <w:spacing w:after="0" w:line="204" w:lineRule="exact"/>
        <w:rPr>
          <w:rFonts w:ascii="Arial" w:cs="Arial" w:eastAsia="Arial" w:hAnsi="Arial"/>
          <w:sz w:val="18"/>
          <w:szCs w:val="18"/>
          <w:color w:val="auto"/>
        </w:rPr>
      </w:pPr>
    </w:p>
    <w:p>
      <w:pPr>
        <w:ind w:firstLine="8"/>
        <w:spacing w:after="0" w:line="251"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Withholding: The Participant shall be responsible for payment of any taxes or similar charges required by law to be withheld from an Award or an amount paid in satisfaction of an Award and these obligations shall be paid by the Participant on or prior to the payment of the Award. In the case of an Award payable in cash, the withholding obligation shall be satisfied by withholding the applicable amount and paying the net amount in cash to the Participant. In the case of an Award paid in shares of Stock, a Participant shall satisfy the withholding obligation as provided in Section 5(g). (4) Maximum Term of Awards. No Option or Stock Appreciation Right may be exercised or converted to any extent or remain outstanding and unexercised, unconverted or unvested more than ten years after the date such Option or Stock Appreciation Right was initially granted. The Committee may provide, at or after grant, that the period of time over which an Option, other than an Incentive Stock Option, or Stock Appreciation Right may be exercised shall be automatically extended if on the scheduled expiration of such Award, the Participant’s exercise of such Award would violate applicable securities law or any insider trading policy of the Corporation; provided, however, that during the extended exercise period the Option or Stock Appreciation Right may only be exercised to the extent such Award was exercisable in accordance with its terms immediately prior to such scheduled expiration date; provided further, however, that such extended exercise period shall end not later than thirty (30) days after the exercise of such Option or Stock Appreciation Right first would no longer violate such laws.</w:t>
      </w:r>
    </w:p>
    <w:p>
      <w:pPr>
        <w:spacing w:after="0" w:line="211" w:lineRule="exact"/>
        <w:rPr>
          <w:sz w:val="20"/>
          <w:szCs w:val="20"/>
          <w:color w:val="auto"/>
        </w:rPr>
      </w:pPr>
    </w:p>
    <w:p>
      <w:pPr>
        <w:ind w:right="180" w:firstLine="8"/>
        <w:spacing w:after="0" w:line="262"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Provisions. Award Agreements may include other terms and conditions as the Committee shall approve, including but not limited to the following:</w:t>
      </w:r>
    </w:p>
    <w:p>
      <w:pPr>
        <w:spacing w:after="0" w:line="196" w:lineRule="exact"/>
        <w:rPr>
          <w:sz w:val="20"/>
          <w:szCs w:val="20"/>
          <w:color w:val="auto"/>
        </w:rPr>
      </w:pPr>
    </w:p>
    <w:p>
      <w:pPr>
        <w:ind w:right="340" w:firstLine="8"/>
        <w:spacing w:after="0" w:line="254"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Employment: A provision describing the treatment of an Award in the event of the retirement, disability, death or other termination of a Participant’s employment with or services to the Corporation, including any provisions relating to the vesting, exercisability, forfeiture or cancellation of the Award in these circumstances, subject, in the case of Performance-Based Awards, to the requirements for “performance-based compensation” under Code Section 162(m).</w:t>
      </w:r>
    </w:p>
    <w:p>
      <w:pPr>
        <w:spacing w:after="0" w:line="204" w:lineRule="exact"/>
        <w:rPr>
          <w:rFonts w:ascii="Arial" w:cs="Arial" w:eastAsia="Arial" w:hAnsi="Arial"/>
          <w:sz w:val="18"/>
          <w:szCs w:val="18"/>
          <w:color w:val="auto"/>
        </w:rPr>
      </w:pPr>
    </w:p>
    <w:p>
      <w:pPr>
        <w:ind w:firstLine="8"/>
        <w:spacing w:after="0" w:line="251"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Vesting; Effect of Termination; Change in Control: Any other terms consistent with the terms of this Plan as are necessary and appropriate to effect the Award to the Participant, including but not limited to the vesting provisions, any requirements for continued employment, any other restrictions or conditions (including performance requirements) of the Award, and the method by which (consistent with Section 7) the restrictions or conditions lapse, and the effect on the Award of a Change in Control. Unless otherwise provided by the Committee in the applicable Award Agreement, (1) the minimum vesting period for Awards of Restricted Stock shall be three years from the date of grant (or one year in the case of Restricted Stock Awards that are Performance-Based Awards) and (2) the vesting period of an Award of Restricted Stock may not be accelerated to a date that is within such minimum vesting period except in the event of the Participant’s death, permanent disability or retirement or in the event of a Change in Control; provided, however, that the foregoing limitations shall not apply to Awards to Non-Employee Directors (in their capacity as such).</w:t>
      </w:r>
    </w:p>
    <w:p>
      <w:pPr>
        <w:spacing w:after="0" w:line="212" w:lineRule="exact"/>
        <w:rPr>
          <w:rFonts w:ascii="Arial" w:cs="Arial" w:eastAsia="Arial" w:hAnsi="Arial"/>
          <w:sz w:val="18"/>
          <w:szCs w:val="18"/>
          <w:color w:val="auto"/>
        </w:rPr>
      </w:pPr>
    </w:p>
    <w:p>
      <w:pPr>
        <w:ind w:right="280" w:firstLine="8"/>
        <w:spacing w:after="0" w:line="254"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Replacement and Substitution: Any provisions permitting or requiring the surrender of outstanding Awards or securities held by the Participant in whole or in part in order to exercise or realize rights under or as a condition precedent to other Awards, or in exchange for the grant of new or amended Awards under similar or different terms; provided, that except in connection with an adjustment contemplated by Section 7, no such provisions of an Award Agreement shall permit a “Repricing” as defined in Section 8(d).</w:t>
      </w:r>
    </w:p>
    <w:p>
      <w:pPr>
        <w:spacing w:after="0" w:line="204" w:lineRule="exact"/>
        <w:rPr>
          <w:rFonts w:ascii="Arial" w:cs="Arial" w:eastAsia="Arial" w:hAnsi="Arial"/>
          <w:sz w:val="18"/>
          <w:szCs w:val="18"/>
          <w:color w:val="auto"/>
        </w:rPr>
      </w:pPr>
    </w:p>
    <w:p>
      <w:pPr>
        <w:ind w:right="40" w:firstLine="8"/>
        <w:spacing w:after="0" w:line="254"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 and Dividend Equivalents: Any provisions providing for the payment of dividends or dividend equivalents on unissued shares of Stock or unpaid Share Units underlying an Award, on either a current or deferred or contingent basis, and either in cash or in additional shares of Stock; provided, however, that except under the circumstances set forth in Section 7 below, dividend equivalents may not be paid with respect to Awards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60"/>
          </w:cols>
          <w:pgMar w:left="240" w:top="1440" w:right="299" w:bottom="1440" w:gutter="0" w:footer="0" w:header="0"/>
        </w:sectPr>
      </w:pPr>
    </w:p>
    <w:bookmarkStart w:id="99" w:name="page100"/>
    <w:bookmarkEnd w:id="99"/>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Options or Stock Appreciation Rights, and any dividend or dividend equivalent rights granted with respect to Other Share-Based Awards, including Performance-Based Awards and restricted stock units, shall not be paid unless and until the underlying shares of Stock to which such dividend or dividend equivalent rights relate vest.</w:t>
      </w:r>
    </w:p>
    <w:p>
      <w:pPr>
        <w:spacing w:after="0" w:line="202" w:lineRule="exact"/>
        <w:rPr>
          <w:sz w:val="20"/>
          <w:szCs w:val="20"/>
          <w:color w:val="auto"/>
        </w:rPr>
      </w:pPr>
    </w:p>
    <w:p>
      <w:pPr>
        <w:ind w:right="100" w:firstLine="8"/>
        <w:spacing w:after="0" w:line="252"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 Rights, Forms and Signatures. Any obligation of the Corporation to any Participant with respect to an Award shall be based solely upon contractual obligations created by this Plan and an Award Agreement. No Award shall be enforceable until the Award Agreement has been signed on behalf of the Corporation by an Executive Officer (other than the recipient) or his or her delegate. By accepting receipt of the Award Agreement, a Participant shall be deemed to have accepted and consented to the terms of this Plan and any action taken in good faith under this Plan by and within the discretion of the Committee, the Board of Directors or their delegates, including but not limited to the incorporation of any applicable clawback policy adopted by the Board or the Committee at any time. Unless the Award Agreement otherwise expressly provides, there shall be no third party beneficiaries of the obligations of the Corporation to the Participant under the Award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SECTION 7. Adjustments; Change in Control; Acquisitions.</w:t>
      </w:r>
    </w:p>
    <w:p>
      <w:pPr>
        <w:spacing w:after="0" w:line="225" w:lineRule="exact"/>
        <w:rPr>
          <w:sz w:val="20"/>
          <w:szCs w:val="20"/>
          <w:color w:val="auto"/>
        </w:rPr>
      </w:pPr>
    </w:p>
    <w:p>
      <w:pPr>
        <w:ind w:right="20" w:firstLine="8"/>
        <w:spacing w:after="0" w:line="252"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Adjustments. If there shall occur any recapitalization, stock split (including a stock split in the form of a stock dividend), reverse stock split, merger, combination, consolidation, or other reorganization or any extraordinary dividend or other extraordinary distribution in respect of the Stock (whether in the form of cash, Stock or other property), or any split-up, spin-off, extraordinary redemption, or exchange of outstanding Stock, or there shall occur any other similar corporate transaction or event in respect of the Stock, or a sale of substantially all the assets of the Corporation as an entirety, then the Committee shall, in the manner and to the extent, if any, as it deems appropriate and equitable to the Participants and consistent with the terms of this Plan, and taking into consideration the effect of the event on the holders of the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proportionately adjust any or all of:</w:t>
      </w:r>
    </w:p>
    <w:p>
      <w:pPr>
        <w:spacing w:after="0" w:line="225" w:lineRule="exact"/>
        <w:rPr>
          <w:sz w:val="20"/>
          <w:szCs w:val="20"/>
          <w:color w:val="auto"/>
        </w:rPr>
      </w:pPr>
    </w:p>
    <w:p>
      <w:pPr>
        <w:ind w:right="580" w:firstLine="8"/>
        <w:spacing w:after="0" w:line="262" w:lineRule="auto"/>
        <w:tabs>
          <w:tab w:leader="none" w:pos="2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type of shares of Stock and Share Units which thereafter may be made the subject of Awards (including the specific maximum limits and numbers of shares of Stock or Share Units set forth elsewhere in this Plan),</w:t>
      </w:r>
    </w:p>
    <w:p>
      <w:pPr>
        <w:spacing w:after="0" w:line="196"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type of shares of Stock, other property, Share Units or cash subject to any or all outstanding Awards,</w:t>
      </w:r>
    </w:p>
    <w:p>
      <w:pPr>
        <w:spacing w:after="0" w:line="225" w:lineRule="exact"/>
        <w:rPr>
          <w:rFonts w:ascii="Arial" w:cs="Arial" w:eastAsia="Arial" w:hAnsi="Arial"/>
          <w:sz w:val="18"/>
          <w:szCs w:val="18"/>
          <w:color w:val="auto"/>
        </w:rPr>
      </w:pPr>
    </w:p>
    <w:p>
      <w:pPr>
        <w:ind w:right="280" w:firstLine="8"/>
        <w:spacing w:after="0" w:line="262"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grant, purchase or exercise price, or conversion ratio of any or all outstanding Awards, or of the Stock, other property or Share Units underlying the Awards,</w:t>
      </w:r>
    </w:p>
    <w:p>
      <w:pPr>
        <w:spacing w:after="0" w:line="196"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cash or other property deliverable upon exercise or conversion of any or all outstanding Awards,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Section 4(b), the performance targets or standards appropriate to any outstanding Performance-Based Awards, or</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as are affected by the event; and/or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provide for:</w:t>
      </w:r>
    </w:p>
    <w:p>
      <w:pPr>
        <w:spacing w:after="0" w:line="225"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appropriate and proportionate cash settlement or distribution, or</w:t>
      </w:r>
    </w:p>
    <w:p>
      <w:pPr>
        <w:spacing w:after="0" w:line="225" w:lineRule="exact"/>
        <w:rPr>
          <w:rFonts w:ascii="Arial" w:cs="Arial" w:eastAsia="Arial" w:hAnsi="Arial"/>
          <w:sz w:val="18"/>
          <w:szCs w:val="18"/>
          <w:color w:val="auto"/>
        </w:rPr>
      </w:pPr>
    </w:p>
    <w:p>
      <w:pPr>
        <w:ind w:right="380" w:firstLine="8"/>
        <w:spacing w:after="0" w:line="262" w:lineRule="auto"/>
        <w:tabs>
          <w:tab w:leader="none" w:pos="2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substitution or exchange of any or all outstanding Awards, or the cash, securities or property deliverable on exercise, conversion or vesting of the Awards.</w:t>
      </w:r>
    </w:p>
    <w:p>
      <w:pPr>
        <w:spacing w:after="0" w:line="196"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Committee shall act prior to an event described in this paragraph (a) (including at the time of an Award by means of more specific provisions in the Award Agreement) if deemed necessary or appropriate to permit the Participant to realize the benefits intended to be conveyed by an Award in respect of the Stock in the case of an event described in paragraph (a).</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40" w:top="1440" w:right="279" w:bottom="1440" w:gutter="0" w:footer="0" w:header="0"/>
        </w:sectPr>
      </w:pPr>
    </w:p>
    <w:bookmarkStart w:id="100" w:name="page101"/>
    <w:bookmarkEnd w:id="100"/>
    <w:p>
      <w:pPr>
        <w:spacing w:after="0" w:line="104" w:lineRule="exact"/>
        <w:rPr>
          <w:sz w:val="20"/>
          <w:szCs w:val="20"/>
          <w:color w:val="auto"/>
        </w:rPr>
      </w:pPr>
    </w:p>
    <w:p>
      <w:pPr>
        <w:ind w:right="40" w:firstLine="8"/>
        <w:spacing w:after="0" w:line="252"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in Control. The Committee may, in the Award Agreement, provide for the effect of a Change in Control on an Award. Such provisions may include, but are not limited to any one or more of the following with respect to any or all Awards: (i) the specific consequences of a Change in Control on the Awards; (ii) a reservation of the Committee’s right to determine in its discretion at any time that there shall be full acceleration or no acceleration of benefits under the Awards; (iii) that only certain or limited benefits under the Awards shall be accelerated; (iv) that the Awards shall be accelerated for a limited time only; or (v) that acceleration of the Awards shall be subject to additional conditions precedent (such as a termination of employment following a Change in Control).</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any action required or authorized by the terms of an Award, the Committee may take any other action it deems appropriate to ensure the equitable treatment of Participants in the event of a Change in Control, including but not limited to any one or more of the following with respect to any or all Awards: (i) the acceleration or extension of time periods for purposes of exercising, vesting in, or realizing gain from, the Awards; (ii) the waiver of conditions on the Awards that were imposed for the benefit of the Corporation, (iii) provision for the cash settlement of the Awards for their equivalent cash value (based solely on the Fair Market Value of the Award), as determined by the Committee, as of the date of the Change in Control; or (iv) such other modification or adjustment to the Awards as the Committee deems appropriate to maintain and protect the rights and interests of Participants upon or following the Change in Control, including the cancellation of any Options or Stock Appreciation Rights whose exercise price (or base price, as the case may be) is less than the Fair Market Value of a share of Stock on the date of the Change in Control. The Committee also may accord any Participant a right to refuse any acceleration of exercisability, vesting or benefits, whether pursuant to the Award Agreement or otherwise, in such circumstances as the Committee may approve.</w:t>
      </w:r>
    </w:p>
    <w:p>
      <w:pPr>
        <w:spacing w:after="0" w:line="194"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Notwithstanding the foregoing provisions of this Section 7(b) or any provision in an Award Agreement to the contrary, if any Award to any Insider is accelerated to a date that is less than six months after the date of the Award, the Committee may prohibit a sale of the underlying Stock (other than a sale by operation or law in exchange for or through conversion into other securities), and the Corporation may impose legend and other restrictions on the Stock to enforce this prohibition.</w:t>
      </w:r>
    </w:p>
    <w:p>
      <w:pPr>
        <w:spacing w:after="0" w:line="204" w:lineRule="exact"/>
        <w:rPr>
          <w:sz w:val="20"/>
          <w:szCs w:val="20"/>
          <w:color w:val="auto"/>
        </w:rPr>
      </w:pPr>
    </w:p>
    <w:p>
      <w:pPr>
        <w:ind w:right="260" w:firstLine="8"/>
        <w:spacing w:after="0" w:line="256"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in Control Definition. For purposes of this Plan, with respect to any Award other than an Award issued pursuant to an Award Agreement that separately defines the term “change in control,” a change in control shall include and be deemed to occur upon the following events:</w:t>
      </w:r>
    </w:p>
    <w:p>
      <w:pPr>
        <w:spacing w:after="0" w:line="202" w:lineRule="exact"/>
        <w:rPr>
          <w:sz w:val="20"/>
          <w:szCs w:val="20"/>
          <w:color w:val="auto"/>
        </w:rPr>
      </w:pPr>
    </w:p>
    <w:p>
      <w:pPr>
        <w:ind w:right="20" w:firstLine="8"/>
        <w:spacing w:after="0" w:line="254"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acquisition by any person or group (including a group within the meaning of Section 13(d)(3) or 14(d)(2) of the Exchange Act), other than the Corporation or any of its Subsidiaries, of beneficial ownership (within the meaning of Rule 13d-3 under the Exchange Act) of a majority of the combined voting power of the Corporation’s then outstanding voting securities, other than by any employee benefit plan maintained by the Corporation;</w:t>
      </w:r>
    </w:p>
    <w:p>
      <w:pPr>
        <w:spacing w:after="0" w:line="204"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 or any successor thereto;</w:t>
      </w:r>
    </w:p>
    <w:p>
      <w:pPr>
        <w:spacing w:after="0" w:line="225" w:lineRule="exact"/>
        <w:rPr>
          <w:rFonts w:ascii="Arial" w:cs="Arial" w:eastAsia="Arial" w:hAnsi="Arial"/>
          <w:sz w:val="18"/>
          <w:szCs w:val="18"/>
          <w:color w:val="auto"/>
        </w:rPr>
      </w:pPr>
    </w:p>
    <w:p>
      <w:pPr>
        <w:jc w:val="both"/>
        <w:ind w:right="140" w:firstLine="8"/>
        <w:spacing w:after="0" w:line="254"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consummation of a merger, combination, consolidation, recapitalization, or other reorganization of the Corporation with one or more other entities that are not Subsidiaries if, as a result of the consummation of such transaction less than 50 percent of the outstanding voting securities of the surviving or resulting corporation shall immediately after the event be beneficially owned in the aggregate by the stockholders of the Corporation immediately prior to the event; or</w:t>
      </w:r>
    </w:p>
    <w:p>
      <w:pPr>
        <w:spacing w:after="0" w:line="204" w:lineRule="exact"/>
        <w:rPr>
          <w:rFonts w:ascii="Arial" w:cs="Arial" w:eastAsia="Arial" w:hAnsi="Arial"/>
          <w:sz w:val="18"/>
          <w:szCs w:val="18"/>
          <w:color w:val="auto"/>
        </w:rPr>
      </w:pPr>
    </w:p>
    <w:p>
      <w:pPr>
        <w:ind w:right="100" w:firstLine="8"/>
        <w:spacing w:after="0" w:line="252"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election, including the filling of vacancies, during any period of 24 months or less, of 50 percent or more, of the members of the Board, without the approval of Continuing Directors, as constituted at the beginning of such period. “Continuing Directors” shall mean any director of the Corporation who either (i) is a member of the Board on January 14, 2019e, or (ii) is nominated for election to the Board by a majority of the Board which is comprised of Directors who were, at the time of such nomination, Continuing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 however, that no individual shall be considered a Continuing Director if such individual initially assumed office as a result of the actual or threatened solicitation of proxies or consents by or on behalf of a Person other than the Board (a “Proxy Contest”) including by reason of any agreement intended to avoid or settle any Proxy Contest; or</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Notwithstanding the foregoing, unless otherwise provided in the applicable Award Agreement, solely for the purpose of determining the timing of any payments pursuant to any Award constituting a “deferral of compensation” subject to Section 409A of the Code, a Change in Control shall mean a “change in the ownership”</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1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of the Corporation, a “change in the effective control” of the Corporation, or a “change in the ownership of a substantial portion of the assets” of the Corporation as such terms are defined in Section 1.409A-3(i)(5) of the Treasury Regulations.</w:t>
      </w:r>
    </w:p>
    <w:p>
      <w:pPr>
        <w:spacing w:after="0" w:line="196" w:lineRule="exact"/>
        <w:rPr>
          <w:sz w:val="20"/>
          <w:szCs w:val="20"/>
          <w:color w:val="auto"/>
        </w:rPr>
      </w:pPr>
    </w:p>
    <w:p>
      <w:pPr>
        <w:ind w:right="20" w:firstLine="8"/>
        <w:spacing w:after="0" w:line="251"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Business Acquisitions. Awards may be granted under this Plan on the terms and conditions as the Committee considers appropriate, which may differ from those otherwise required by this Plan to the extent necessary to reflect a substitution for or assumption of stock incentive awards held by employees of other entities who become employees of the Corporation or a Subsidiary as the result of a merger of the employing entity with, or the acquisition of the property or stock of the employing entity by, the Corporation or a Subsidiary (an “Acquisition”), directly or indirectly (such awards, “Substitute Awards”). Substitute Awards shall not be counted against the limitations set forth in Section 5(a) nor be added back pursuant to Section 5(c), provided that Substitute Awards issued in connection with the assumption of, or in substitution for, Incentive Stock Options shall be counted against the limits set forth in Section 5(a)(ii) of the Plan. Additionally, in the event that a company acquired by the Corporation or any Subsidiary or with which the Corporation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SECTION 8. Administration.</w:t>
      </w:r>
    </w:p>
    <w:p>
      <w:pPr>
        <w:spacing w:after="0" w:line="225" w:lineRule="exact"/>
        <w:rPr>
          <w:sz w:val="20"/>
          <w:szCs w:val="20"/>
          <w:color w:val="auto"/>
        </w:rPr>
      </w:pPr>
    </w:p>
    <w:p>
      <w:pPr>
        <w:ind w:right="40" w:firstLine="8"/>
        <w:spacing w:after="0" w:line="252"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Committee Authority and Structure. This Plan and all Awards granted under this Plan shall be administered by the Compensation Committee of the Board or such other committee of the Board or subcommittee of the Compensation Committee as may be designated by the Board and constituted so as to permit this Plan to comply with the disinterested administration requirements of Rule 16b-3 under the Exchange Act and the “outside director” requirement of Code Section 162(m).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w:t>
      </w:r>
    </w:p>
    <w:p>
      <w:pPr>
        <w:spacing w:after="0" w:line="208"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Selection and Grant. The Committee shall have the authority to determine the individuals (if any) to whom Awards will be granted under this Plan, the type of Award or Awards to be made, and the nature, amount, pricing, timing, and other terms of Awards to be made to any one or more of these individuals, subject to the terms of this Plan.</w:t>
      </w:r>
    </w:p>
    <w:p>
      <w:pPr>
        <w:spacing w:after="0" w:line="201" w:lineRule="exact"/>
        <w:rPr>
          <w:rFonts w:ascii="Arial" w:cs="Arial" w:eastAsia="Arial" w:hAnsi="Arial"/>
          <w:sz w:val="18"/>
          <w:szCs w:val="18"/>
          <w:color w:val="auto"/>
        </w:rPr>
      </w:pPr>
    </w:p>
    <w:p>
      <w:pPr>
        <w:ind w:firstLine="8"/>
        <w:spacing w:after="0" w:line="252"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Construction and Interpretation. The Committee shall have the power to interpret and administer this Plan and Award Agreements, and to adopt, amend and rescind related rules and procedures. All questions of interpretation and determinations with respect to this Plan, the number of shares of Stock, Options, Stock Appreciation Rights, or units or other Awards granted, and the terms of any Award Agreements, the adjustments required or permitted by Section 7, and other determinations hereunder shall be made by the Committee and its determination shall be final and conclusive upon all parties in interest. In the event of any conflict between an Award Agreement and any non-discretionary provisions of this Plan, the terms of this Plan shall govern.</w:t>
      </w:r>
    </w:p>
    <w:p>
      <w:pPr>
        <w:spacing w:after="0" w:line="208" w:lineRule="exact"/>
        <w:rPr>
          <w:rFonts w:ascii="Arial" w:cs="Arial" w:eastAsia="Arial" w:hAnsi="Arial"/>
          <w:sz w:val="18"/>
          <w:szCs w:val="18"/>
          <w:color w:val="auto"/>
        </w:rPr>
      </w:pPr>
    </w:p>
    <w:p>
      <w:pPr>
        <w:ind w:firstLine="8"/>
        <w:spacing w:after="0" w:line="252"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Express Authority to Change Terms of Awards. The Committee may, at any time, alter or amend any or all Award Agreements under this Plan in any manner that would be authorized for a new Award under this Plan, including but not limited to any manner set forth in Section 9 (subject to any applicable limitations thereunder), except that no amendment or cancellation of an Award may effect a Repricing of such Award, except in connection with an adjustment pursuant to Section 7 or with the prior approval of the Corporation’s shareholders. A “Repricing” means any of the following: (i) changing the terms of an Award to lower its exercise price or base price, (ii) cancelling an Award with an exercise price or base price in exchange for other Awards with a lower exercise price or base price, or (iii) cancelling an Award with an exercise price or base price at a time when such price is equal to or greater than the Fair Market Value of the underlying Stock in exchange for other Awards, cash or property. Without limiting the Committee’s authority under this plan (including Sections 7 and 9), but subject to</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40" w:top="1440" w:right="259" w:bottom="1440" w:gutter="0" w:footer="0" w:header="0"/>
        </w:sectPr>
      </w:pPr>
    </w:p>
    <w:bookmarkStart w:id="102" w:name="page103"/>
    <w:bookmarkEnd w:id="102"/>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any express limitations of this Plan (including the prohibitions on Repricing set forth in this Section 8(d)), the Committee shall have the authority to accelerate the exercisability or vesting of an Award, to extend the term or waive early termination provisions of an Award (subject to the maximum ten-year term under Section 6(a)(4)), and to waive the Corporation’s rights with respect to an Award or restrictive conditions of an Award (including forfeiture conditions), in any case in such circumstances as the Committee deems appropriate.</w:t>
      </w:r>
    </w:p>
    <w:p>
      <w:pPr>
        <w:spacing w:after="0" w:line="204" w:lineRule="exact"/>
        <w:rPr>
          <w:sz w:val="20"/>
          <w:szCs w:val="20"/>
          <w:color w:val="auto"/>
        </w:rPr>
      </w:pPr>
    </w:p>
    <w:p>
      <w:pPr>
        <w:ind w:right="100" w:firstLine="8"/>
        <w:spacing w:after="0" w:line="251"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Rule 16b-3 Conditions; Bifurcation of Plan. It is the intent of the Corporation that this Plan and Awards hereunder satisfy and be interpreted in a manner, that, in the case of Participants who are or may be Insiders, satisfies any applicable requirements of Rule 16b-3, so that these persons will be entitled to the benefits of Rule 16b-3 or other exemptive rules under Section 16 under the Exchange Act and will not be subjected to avoidable liability thereunder as to Awards intended to be entitled to the benefits of Rule 16b-3. If any provision of this Plan or of any Award would otherwise frustrate or conflict with the intent expressed in this Section 8(e), that provision to the extent possible shall be interpreted and deemed amended so as to avoid such conflict. To the extent of any remaining irreconcilable conflict with this intent, the provision shall be deemed disregarded as to Awards intended as Rule 16b-3 exempt Awards. Notwithstanding anything to the contrary in this Plan, the provisions of this Plan may at any time be bifurcated by the Board or the Committee in any manner so that certain provisions of this Plan or any Award Agreement intended (or required in order) to satisfy the applicable requirements of Rule 16b-3 are only applicable to Insiders and to those Awards to Insiders intended to satisfy the requirements of Rule 16b-3.</w:t>
      </w:r>
    </w:p>
    <w:p>
      <w:pPr>
        <w:spacing w:after="0" w:line="212" w:lineRule="exact"/>
        <w:rPr>
          <w:rFonts w:ascii="Arial" w:cs="Arial" w:eastAsia="Arial" w:hAnsi="Arial"/>
          <w:sz w:val="18"/>
          <w:szCs w:val="18"/>
          <w:color w:val="auto"/>
        </w:rPr>
      </w:pPr>
    </w:p>
    <w:p>
      <w:pPr>
        <w:ind w:firstLine="8"/>
        <w:spacing w:after="0" w:line="251"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Delegation and Reliance. The Committee may delegate to the officers or employees of the Corporation the authority to make grants hereunder and to otherwise execute and deliver those instruments and documents, to do all acts and things, and to take all other steps deemed necessary, advisable or convenient for the effective administration of this Plan in accordance with its terms and purpose, except that the Committee may not delegate any discretionary authority to grant or amend an award or with respect to substantive decisions or functions regarding this Plan or Awards as these relate to the material terms of Performance-Based Awards to Executive Officers or to the timing, eligibility, pricing, amount or other material terms of Awards to Insiders. In making any determination or in taking or not taking any action under this Plan, the Board and the Committee may obtain and may rely upon the advice of experts, including professional advisors to the Corporation. No director, officer, employee or agent of the Corporation shall be liable for any such action or determination taken or made or omitted in good faith.</w:t>
      </w:r>
    </w:p>
    <w:p>
      <w:pPr>
        <w:spacing w:after="0" w:line="212" w:lineRule="exact"/>
        <w:rPr>
          <w:rFonts w:ascii="Arial" w:cs="Arial" w:eastAsia="Arial" w:hAnsi="Arial"/>
          <w:sz w:val="18"/>
          <w:szCs w:val="18"/>
          <w:color w:val="auto"/>
        </w:rPr>
      </w:pPr>
    </w:p>
    <w:p>
      <w:pPr>
        <w:ind w:right="200" w:firstLine="8"/>
        <w:spacing w:after="0" w:line="253"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Exculpation and Indemnity. Neither the Corporation nor any member of the Board of Directors or of the Committee, nor any other person participating in any determination of any question under this Plan, or in the interpretation, administration or application of this Plan, shall have any liability to any party for any action taken or not taken in good faith under this Plan or for the failure of an Award (or action in respect of an Award) to satisfy Code requirements as to incentive stock options or to realize other intended tax consequences, to qualify for exemption or relief under Rule 16b-3 or to comply with any other law, compliance with which is not required on the part of the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SECTION 9. Amendment and Termination of this Plan.</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Board of Directors may at any time amend, suspend or discontinue this Plan, subject to any stockholder approval that may be required under applicable law. Notwithstanding the foregoing, no such action by the Board or the Committee shall, in any manner adverse to a Participant other than as expressly permitted by the terms of an Award Agreement, affect any Award then outstanding and evidenced by an Award Agreement without the consent in writing of the Participant or, to the extent applicable, a Beneficiary, a Participant’s family member or a trust (or similar estate planning entity) established for the benefit of a Participant and/or one or more of the Participant’s family members entitled to an Award. Notwithstanding the above, any amendment that would (i) materially increase the aggregate number of shares of Stock or other equity interest(s) that may be issued hereunder, (ii) materially modify the requirements as to eligibility for participation in this Plan, (iii) effect a Repricing, or (iv) otherwise require shareholder approval under the listing standards of the New York Stock Exchange (or such other principal market in which the Corporation’s shares are traded) or any other law or regulation, shall be subject to shareholder approval.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Miscellaneous.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440" w:right="239" w:bottom="1440" w:gutter="0" w:footer="0" w:header="0"/>
        </w:sectPr>
      </w:pPr>
    </w:p>
    <w:bookmarkStart w:id="103" w:name="page104"/>
    <w:bookmarkEnd w:id="103"/>
    <w:p>
      <w:pPr>
        <w:spacing w:after="0" w:line="104"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Unfunded Plans. This Plan shall be unfunded. Neither the Corporation nor the Board of Directors nor the Committee shall be required to</w:t>
      </w:r>
    </w:p>
    <w:p>
      <w:pPr>
        <w:spacing w:after="0" w:line="9" w:lineRule="exact"/>
        <w:rPr>
          <w:rFonts w:ascii="Arial" w:cs="Arial" w:eastAsia="Arial" w:hAnsi="Arial"/>
          <w:sz w:val="18"/>
          <w:szCs w:val="18"/>
          <w:color w:val="auto"/>
        </w:rPr>
      </w:pPr>
    </w:p>
    <w:p>
      <w:pPr>
        <w:ind w:right="80"/>
        <w:spacing w:after="0" w:line="262" w:lineRule="auto"/>
        <w:rPr>
          <w:rFonts w:ascii="Arial" w:cs="Arial" w:eastAsia="Arial" w:hAnsi="Arial"/>
          <w:sz w:val="18"/>
          <w:szCs w:val="18"/>
          <w:color w:val="auto"/>
        </w:rPr>
      </w:pPr>
      <w:r>
        <w:rPr>
          <w:rFonts w:ascii="Arial" w:cs="Arial" w:eastAsia="Arial" w:hAnsi="Arial"/>
          <w:sz w:val="18"/>
          <w:szCs w:val="18"/>
          <w:color w:val="auto"/>
        </w:rPr>
        <w:t>segregate any assets that may at any time be represented by Awards made pursuant to this Plan. Neither the Corporation, the Committee, nor the Board of Directors shall be deemed to be a trustee of any amounts to be paid or securities to be issued under this Plan.</w:t>
      </w:r>
    </w:p>
    <w:p>
      <w:pPr>
        <w:spacing w:after="0" w:line="196"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of Employees.</w:t>
      </w:r>
    </w:p>
    <w:p>
      <w:pPr>
        <w:spacing w:after="0" w:line="225" w:lineRule="exact"/>
        <w:rPr>
          <w:sz w:val="20"/>
          <w:szCs w:val="20"/>
          <w:color w:val="auto"/>
        </w:rPr>
      </w:pPr>
    </w:p>
    <w:p>
      <w:pPr>
        <w:ind w:firstLine="8"/>
        <w:spacing w:after="0" w:line="262" w:lineRule="auto"/>
        <w:tabs>
          <w:tab w:leader="none" w:pos="2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Right to an Award. Status as an Employee shall not be construed as a commitment that any one or more Awards will be made under this Plan to an Employee or to Employees generally. Status as a Participant shall not entitle the Participant to any additional Award.</w:t>
      </w:r>
    </w:p>
    <w:p>
      <w:pPr>
        <w:spacing w:after="0" w:line="196" w:lineRule="exact"/>
        <w:rPr>
          <w:rFonts w:ascii="Arial" w:cs="Arial" w:eastAsia="Arial" w:hAnsi="Arial"/>
          <w:sz w:val="18"/>
          <w:szCs w:val="18"/>
          <w:color w:val="auto"/>
        </w:rPr>
      </w:pPr>
    </w:p>
    <w:p>
      <w:pPr>
        <w:ind w:right="20" w:firstLine="8"/>
        <w:spacing w:after="0" w:line="254" w:lineRule="auto"/>
        <w:tabs>
          <w:tab w:leader="none" w:pos="2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Assurance of Employment or Other Service Relationship. Nothing contained in this Plan (or in any other documents related to this Plan or to any Award) shall confer upon any Employee or Participant any right to continue in the employ or other service of the Corporation or any Subsidiary or constitute any contract (of employment or otherwise) or limit in any way the right of the Corporation or any Subsidiary to change a person’s compensation or other benefits or to terminate the employment or services of a person with or without cause.</w:t>
      </w:r>
    </w:p>
    <w:p>
      <w:pPr>
        <w:spacing w:after="0" w:line="204" w:lineRule="exact"/>
        <w:rPr>
          <w:sz w:val="20"/>
          <w:szCs w:val="20"/>
          <w:color w:val="auto"/>
        </w:rPr>
      </w:pPr>
    </w:p>
    <w:p>
      <w:pPr>
        <w:ind w:right="80" w:firstLine="8"/>
        <w:spacing w:after="0" w:line="253" w:lineRule="auto"/>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Effective Date; Duration. This Plan has been adopted by the Board of Directors of the Corporation and will amend and restate the previous plan as set forth herein effective as of January 14, 2019. This Plan shall remain in effect until any and all Awards under this Plan have been exercised, converted or terminated under the terms of this Plan and applicable Award Agreements. Notwithstanding the foregoing, no Award may be granted under this Plan after the tenth anniversary of May 26, 2016; provided, however, that any Award granted prior to such date may be amended after such date in any manner that would have been permitted hereunder prior to such date.</w:t>
      </w:r>
    </w:p>
    <w:p>
      <w:pPr>
        <w:spacing w:after="0" w:line="205" w:lineRule="exact"/>
        <w:rPr>
          <w:rFonts w:ascii="Arial" w:cs="Arial" w:eastAsia="Arial" w:hAnsi="Arial"/>
          <w:sz w:val="18"/>
          <w:szCs w:val="18"/>
          <w:color w:val="auto"/>
        </w:rPr>
      </w:pPr>
    </w:p>
    <w:p>
      <w:pPr>
        <w:ind w:right="80" w:firstLine="8"/>
        <w:spacing w:after="0" w:line="252"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Laws. This Plan, Award Agreements, and the grant, exercise, conversion, operation and vesting of Awards, and the issuance and delivery of shares of Stock and/or other securities or property or the payment of cash under this Plan, Awards or Award Agreements, are subject to compliance with all applicable federal and state laws, rules and regulations (including but not limited to state and federal insider trading, registration, reporting and other securities laws and federal margin requirements) and to such approvals by any listing, regulatory or governmental authority as may be necessary or, in the opinion of counsel for the Corporation, advisable in connection therewith. Any securities delivered under this Plan shall be subject to such restrictions (and the person acquiring such securities shall, if requested by the Corporation, provide such evidence, assurance and representations to the Corporation as to compliance with any of such restrictions) as the Corporation may deem necessary or desirable to assure compliance with all applicable legal requirements.</w:t>
      </w:r>
    </w:p>
    <w:p>
      <w:pPr>
        <w:spacing w:after="0" w:line="206" w:lineRule="exact"/>
        <w:rPr>
          <w:rFonts w:ascii="Arial" w:cs="Arial" w:eastAsia="Arial" w:hAnsi="Arial"/>
          <w:sz w:val="18"/>
          <w:szCs w:val="18"/>
          <w:color w:val="auto"/>
        </w:rPr>
      </w:pPr>
    </w:p>
    <w:p>
      <w:pPr>
        <w:ind w:right="60" w:firstLine="8"/>
        <w:spacing w:after="0" w:line="252"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Awards to Non-U.S. Participants. The Committee shall have the power and authority to determine which service providers outside the United States shall be eligible to participate in the Plan. Without amending the Plan, the Committee may grant Awards to eligible persons who are foreign nationals and/or reside outside the United States on such terms and conditions different from those specified in this Plan as may in the judgment of the Committee be necessary or desirable to foster and promote achievement of the purposes of this Plan. The Committee may adopt, amend or rescind rules, procedures or sub-plans relating to the operation and administration of the Plan to accommodate the specific requirements of local laws, procedures, and practices.</w:t>
      </w:r>
    </w:p>
    <w:p>
      <w:pPr>
        <w:spacing w:after="0" w:line="208" w:lineRule="exact"/>
        <w:rPr>
          <w:rFonts w:ascii="Arial" w:cs="Arial" w:eastAsia="Arial" w:hAnsi="Arial"/>
          <w:sz w:val="18"/>
          <w:szCs w:val="18"/>
          <w:color w:val="auto"/>
        </w:rPr>
      </w:pPr>
    </w:p>
    <w:p>
      <w:pPr>
        <w:ind w:right="80" w:firstLine="8"/>
        <w:spacing w:after="0" w:line="251"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409A. 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Board or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the Corporation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Corporation shall not have any obligation to indemnify or otherwise hold any Participant harmless from any or all such taxes or penalties.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104" w:lineRule="exact"/>
        <w:rPr>
          <w:sz w:val="20"/>
          <w:szCs w:val="20"/>
          <w:color w:val="auto"/>
        </w:rPr>
      </w:pPr>
    </w:p>
    <w:p>
      <w:pPr>
        <w:ind w:left="-8" w:right="80" w:firstLine="8"/>
        <w:spacing w:after="0" w:line="262"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Applicable Law. This Plan, Award Agreements and any related documents and matters shall be governed by, and construed in accordance with, the laws of the State of Delaware and applicable Federal law.</w:t>
      </w:r>
    </w:p>
    <w:p>
      <w:pPr>
        <w:spacing w:after="0" w:line="196" w:lineRule="exact"/>
        <w:rPr>
          <w:rFonts w:ascii="Arial" w:cs="Arial" w:eastAsia="Arial" w:hAnsi="Arial"/>
          <w:sz w:val="18"/>
          <w:szCs w:val="18"/>
          <w:color w:val="auto"/>
        </w:rPr>
      </w:pPr>
    </w:p>
    <w:p>
      <w:pPr>
        <w:ind w:left="-8" w:right="20" w:firstLine="8"/>
        <w:spacing w:after="0" w:line="262"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Non-Exclusivity of Plan. Nothing in this Plan shall limit or be deemed to limit the authority of the Corporation, the Board or the Committee to grant awards or authorize any other compensation, with or without reference to the Stock, under any other plan or authority.</w:t>
      </w:r>
    </w:p>
    <w:p>
      <w:pPr>
        <w:spacing w:after="0" w:line="196" w:lineRule="exact"/>
        <w:rPr>
          <w:rFonts w:ascii="Arial" w:cs="Arial" w:eastAsia="Arial" w:hAnsi="Arial"/>
          <w:sz w:val="18"/>
          <w:szCs w:val="18"/>
          <w:color w:val="auto"/>
        </w:rPr>
      </w:pPr>
    </w:p>
    <w:p>
      <w:pPr>
        <w:ind w:left="-8" w:firstLine="8"/>
        <w:spacing w:after="0" w:line="253" w:lineRule="auto"/>
        <w:tabs>
          <w:tab w:leader="none" w:pos="2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Corporation Clawback Policy. Notwithstanding any provision of the Plan or any Award Agreement to the contrary, the Corporation may require the Participant to return shares of Stock (or the value of such Stock when originally released to Participant), dividends paid thereon and any other amount required by law to be returned, in the event that such repayment is required in order to comply with any Corporation compensation recovery (or other clawback) policy as then in effect or any laws or regulations relating to restatements of the Corporation’s publicly-reported financial results.</w:t>
      </w:r>
    </w:p>
    <w:p>
      <w:pPr>
        <w:spacing w:after="0" w:line="244"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52"/>
          </w:cols>
          <w:pgMar w:left="248" w:top="1440" w:right="2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10.21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ENGILITY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2012 LONG TERM PERFORMANCE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UNIT AWARD AGREEMENT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Performance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as of the Grant Date (as defined below), is between Engility Holdings,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the Participant (as defined below). Any term capitalized but not defined in this Agreement will have the meaning set forth in the Engility Holdings, Inc. Second Amended and Restated 2012 Long Term Performance Plan (the “</w:t>
      </w:r>
      <w:r>
        <w:rPr>
          <w:rFonts w:ascii="Arial" w:cs="Arial" w:eastAsia="Arial" w:hAnsi="Arial"/>
          <w:sz w:val="18"/>
          <w:szCs w:val="18"/>
          <w:u w:val="single" w:color="auto"/>
          <w:color w:val="auto"/>
        </w:rPr>
        <w:t>Plan</w:t>
      </w:r>
      <w:r>
        <w:rPr>
          <w:rFonts w:ascii="Arial" w:cs="Arial" w:eastAsia="Arial" w:hAnsi="Arial"/>
          <w:sz w:val="18"/>
          <w:szCs w:val="18"/>
          <w:color w:val="auto"/>
        </w:rPr>
        <w:t>”). The Plan provides for the grant of Performance-Based Awards to key employees of the Corporation or its Affiliates as approved by the Committee. In exercise of its discretion under the Plan, the Committee has determined that the Participant should receive a Performance-Based Award of Share Units subject to the terms and restrictions set forth herein under the Plan and, accordingly, the Corporation and the Participant hereby agree as follows:</w:t>
      </w:r>
    </w:p>
    <w:p>
      <w:pPr>
        <w:spacing w:after="0" w:line="207" w:lineRule="exact"/>
        <w:rPr>
          <w:sz w:val="20"/>
          <w:szCs w:val="20"/>
          <w:color w:val="auto"/>
        </w:rPr>
      </w:pPr>
    </w:p>
    <w:p>
      <w:pPr>
        <w:ind w:left="1000" w:hanging="344"/>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for purposes of this Agreement:</w:t>
      </w:r>
    </w:p>
    <w:p>
      <w:pPr>
        <w:spacing w:after="0" w:line="225" w:lineRule="exact"/>
        <w:rPr>
          <w:rFonts w:ascii="Arial" w:cs="Arial" w:eastAsia="Arial" w:hAnsi="Arial"/>
          <w:sz w:val="18"/>
          <w:szCs w:val="18"/>
          <w:color w:val="auto"/>
        </w:rPr>
      </w:pPr>
    </w:p>
    <w:p>
      <w:pPr>
        <w:jc w:val="both"/>
        <w:ind w:firstLine="1305"/>
        <w:spacing w:after="0" w:line="251" w:lineRule="auto"/>
        <w:tabs>
          <w:tab w:leader="none" w:pos="17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the Participant’s: (i) intentional failure to perform reasonably assigned duties, which failure the Participant does not cure within fifteen days of the Corporation providing written notice of such failure; (ii) personal dishonesty or willful misconduct in the performance of duties; (iii) breach of fiduciary duties to the Corporation involving personal profit; (iv) willful violation of any law, rule or regulation in connection with the performance of duties (other than traffic violations or similar offenses); or (v) any act by a Participant involving fraud, any breach by Participant of applicable regulations of competent authorities in relation to trading or dealing with stocks, securities, investments and the like or any willful or grossly negligent act by the Participant resulting in an investigation by the Securities and Exchange Commission, which, in the case of this subdivision (v), the Board reasonably determines materially adversely affects the Corporation or the Participant’s ability to perform his or her duties to the Corporation. For purposes of this definition, an act, or failure to act, on Participant’s part shall be deemed “willful” if done, or omitted to be done, by the Participant in bad faith and without reasonable belief that the action or omission was in the best interest of the Corporation. For purposes of this definition, “Corporation” includes any applicable Subsidiary, Successor and any Subsidiary of a Successor.</w:t>
      </w:r>
    </w:p>
    <w:p>
      <w:pPr>
        <w:spacing w:after="0" w:line="211" w:lineRule="exact"/>
        <w:rPr>
          <w:rFonts w:ascii="Arial" w:cs="Arial" w:eastAsia="Arial" w:hAnsi="Arial"/>
          <w:sz w:val="18"/>
          <w:szCs w:val="18"/>
          <w:color w:val="auto"/>
        </w:rPr>
      </w:pPr>
    </w:p>
    <w:p>
      <w:pPr>
        <w:jc w:val="both"/>
        <w:ind w:firstLine="1305"/>
        <w:spacing w:after="0" w:line="251" w:lineRule="auto"/>
        <w:tabs>
          <w:tab w:leader="none" w:pos="1838"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means any of the following actions, without the Participant’s express prior written approval: (i) any material reduction in base salary, annual cash incentive opportunity or long-term incentive opportunity, (ii) subject to the terms and conditions of the applicable plan(s), any failure by the Corporation to continue to provide employee benefits to the Participant that are substantially similar in the aggregate to those afforded to persons of comparable title and position of the Corporation or applicable Subsidiary (for this purpose employee benefits shall mean retirement, fringe and welfare benefits); (iii) any material adverse change in the Participant’s duties or responsibilities; (iv) any relocation of the Participant’s principal place of business of 50 miles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relocation also increases the Participant’s commute by at least 25 miles; or (v) any failure to pay amounts earned by the Participant within ten (10) days after the date such compensation is due. For purposes of this definition, “Corporation” includes any applicable Subsidiary, Successor and any Subsidiary of a Successor.</w:t>
      </w:r>
    </w:p>
    <w:p>
      <w:pPr>
        <w:spacing w:after="0" w:line="239" w:lineRule="exact"/>
        <w:rPr>
          <w:rFonts w:ascii="Arial" w:cs="Arial" w:eastAsia="Arial" w:hAnsi="Arial"/>
          <w:sz w:val="18"/>
          <w:szCs w:val="18"/>
          <w:color w:val="auto"/>
        </w:rPr>
      </w:pPr>
    </w:p>
    <w:p>
      <w:pPr>
        <w:ind w:left="1720" w:hanging="415"/>
        <w:spacing w:after="0"/>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shall mean [MM/DD/YY].</w:t>
      </w:r>
    </w:p>
    <w:p>
      <w:pPr>
        <w:spacing w:after="0" w:line="252" w:lineRule="exact"/>
        <w:rPr>
          <w:rFonts w:ascii="Arial" w:cs="Arial" w:eastAsia="Arial" w:hAnsi="Arial"/>
          <w:sz w:val="18"/>
          <w:szCs w:val="18"/>
          <w:color w:val="auto"/>
        </w:rPr>
      </w:pPr>
    </w:p>
    <w:p>
      <w:pPr>
        <w:ind w:left="1720" w:hanging="415"/>
        <w:spacing w:after="0"/>
        <w:tabs>
          <w:tab w:leader="none" w:pos="17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[EMPLOYEE NAME].</w:t>
      </w:r>
    </w:p>
    <w:p>
      <w:pPr>
        <w:spacing w:after="0" w:line="252" w:lineRule="exact"/>
        <w:rPr>
          <w:rFonts w:ascii="Arial" w:cs="Arial" w:eastAsia="Arial" w:hAnsi="Arial"/>
          <w:sz w:val="18"/>
          <w:szCs w:val="18"/>
          <w:color w:val="auto"/>
        </w:rPr>
      </w:pPr>
    </w:p>
    <w:p>
      <w:pPr>
        <w:ind w:firstLine="1305"/>
        <w:spacing w:after="0" w:line="262" w:lineRule="auto"/>
        <w:tabs>
          <w:tab w:leader="none" w:pos="1771"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Units</w:t>
      </w:r>
      <w:r>
        <w:rPr>
          <w:rFonts w:ascii="Arial" w:cs="Arial" w:eastAsia="Arial" w:hAnsi="Arial"/>
          <w:sz w:val="18"/>
          <w:szCs w:val="18"/>
          <w:color w:val="auto"/>
        </w:rPr>
        <w:t>” shall mean the Performance-Based Award of Share Units subject to the terms and restrictions set forth herein, as further described on Exhibit A.</w:t>
      </w:r>
    </w:p>
    <w:p>
      <w:pPr>
        <w:sectPr>
          <w:pgSz w:w="11900" w:h="16838" w:orient="portrait"/>
          <w:cols w:equalWidth="0" w:num="1">
            <w:col w:w="11420"/>
          </w:cols>
          <w:pgMar w:left="240" w:top="140" w:right="239" w:bottom="1440" w:gutter="0" w:footer="0" w:header="0"/>
        </w:sectPr>
      </w:pPr>
    </w:p>
    <w:bookmarkStart w:id="106" w:name="page107"/>
    <w:bookmarkEnd w:id="106"/>
    <w:p>
      <w:pPr>
        <w:jc w:val="both"/>
        <w:ind w:left="-656" w:firstLine="1305"/>
        <w:spacing w:after="0" w:line="253" w:lineRule="auto"/>
        <w:tabs>
          <w:tab w:leader="none" w:pos="1064"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Retirement</w:t>
      </w:r>
      <w:r>
        <w:rPr>
          <w:rFonts w:ascii="Arial" w:cs="Arial" w:eastAsia="Arial" w:hAnsi="Arial"/>
          <w:sz w:val="18"/>
          <w:szCs w:val="18"/>
          <w:color w:val="auto"/>
        </w:rPr>
        <w:t>” means the Participant (A) terminates employment with the Corporation and its subsidiaries other than for Cause (and is not subject to termination for Cause at the time of such termination) after [MM/DD/YY], (B) is available for consultation with the Corporation or any of its subsidiaries at the reasonable request of the Corporation or one of its subsidiaries and (C) terminates employment on or after attaining age 65 and completing at least five years of service in the aggregate with the Corporation and its subsidiaries (which service must be continuous through the date of termination except for a single break in service that does not exceed one year in length).</w:t>
      </w:r>
    </w:p>
    <w:p>
      <w:pPr>
        <w:spacing w:after="0" w:line="232" w:lineRule="exact"/>
        <w:rPr>
          <w:rFonts w:ascii="Arial" w:cs="Arial" w:eastAsia="Arial" w:hAnsi="Arial"/>
          <w:sz w:val="18"/>
          <w:szCs w:val="18"/>
          <w:color w:val="auto"/>
        </w:rPr>
      </w:pPr>
    </w:p>
    <w:p>
      <w:pPr>
        <w:ind w:left="-656" w:firstLine="1305"/>
        <w:spacing w:after="0" w:line="262" w:lineRule="auto"/>
        <w:tabs>
          <w:tab w:leader="none" w:pos="11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shall mean a number of shares of the Corporation’s Common Stock, par value $0.01 per share, equal to the number of Performance Units, subject to adjustment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3" w:lineRule="exact"/>
        <w:rPr>
          <w:rFonts w:ascii="Arial" w:cs="Arial" w:eastAsia="Arial" w:hAnsi="Arial"/>
          <w:sz w:val="18"/>
          <w:szCs w:val="18"/>
          <w:color w:val="auto"/>
        </w:rPr>
      </w:pPr>
    </w:p>
    <w:p>
      <w:pPr>
        <w:jc w:val="both"/>
        <w:ind w:left="-656" w:firstLine="1305"/>
        <w:spacing w:after="0" w:line="256"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as to any person, any corporation, association, partnership, joint venture or other business entity of which 50% or more of the voting stock or other equity interests (in the case of entities other than corporations), is owned or controlled (directly or indirectly) by that entity, or by one or more of the Subsidiaries of that entity, or by a combination thereof.</w:t>
      </w:r>
    </w:p>
    <w:p>
      <w:pPr>
        <w:spacing w:after="0" w:line="228" w:lineRule="exact"/>
        <w:rPr>
          <w:rFonts w:ascii="Arial" w:cs="Arial" w:eastAsia="Arial" w:hAnsi="Arial"/>
          <w:sz w:val="18"/>
          <w:szCs w:val="18"/>
          <w:color w:val="auto"/>
        </w:rPr>
      </w:pPr>
    </w:p>
    <w:p>
      <w:pPr>
        <w:jc w:val="both"/>
        <w:ind w:left="-656" w:firstLine="1305"/>
        <w:spacing w:after="0" w:line="256" w:lineRule="auto"/>
        <w:tabs>
          <w:tab w:leader="none" w:pos="1014"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w:t>
      </w:r>
      <w:r>
        <w:rPr>
          <w:rFonts w:ascii="Arial" w:cs="Arial" w:eastAsia="Arial" w:hAnsi="Arial"/>
          <w:sz w:val="18"/>
          <w:szCs w:val="18"/>
          <w:color w:val="auto"/>
        </w:rPr>
        <w:t>” means the entity surviving a Change in Control (as defined in the Plan) transaction involving the Corporation or Engility Corporation, and includes any entity of which such survivor is a Subsidiary and any entity which acquires all or substantially all of the assets of the Corporation.</w:t>
      </w:r>
    </w:p>
    <w:p>
      <w:pPr>
        <w:spacing w:after="0" w:line="228" w:lineRule="exact"/>
        <w:rPr>
          <w:rFonts w:ascii="Arial" w:cs="Arial" w:eastAsia="Arial" w:hAnsi="Arial"/>
          <w:sz w:val="18"/>
          <w:szCs w:val="18"/>
          <w:color w:val="auto"/>
        </w:rPr>
      </w:pPr>
    </w:p>
    <w:p>
      <w:pPr>
        <w:jc w:val="both"/>
        <w:ind w:left="-656" w:firstLine="1305"/>
        <w:spacing w:after="0" w:line="256" w:lineRule="auto"/>
        <w:tabs>
          <w:tab w:leader="none" w:pos="10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Award</w:t>
      </w:r>
      <w:r>
        <w:rPr>
          <w:rFonts w:ascii="Arial" w:cs="Arial" w:eastAsia="Arial" w:hAnsi="Arial"/>
          <w:sz w:val="18"/>
          <w:szCs w:val="18"/>
          <w:color w:val="auto"/>
        </w:rPr>
        <w:t xml:space="preserve">” shall mean the target number of Performance Units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hereof, which represents the target number of Performance Units that may be settled and released to the Participant pursuant to this Award. The actual number of Performance Units granted hereunder that will vest pursuant to this Award shall be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left="-656" w:firstLine="656"/>
        <w:spacing w:after="0" w:line="257" w:lineRule="auto"/>
        <w:tabs>
          <w:tab w:leader="none" w:pos="342"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hereby grants an Award of the Performance Units to the Participant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each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right to receive one Share (or the Fair Market Value thereof) upon the expiration of the Restricted Period (as defined below) and otherwise subject to the terms, conditions and restrictions set forth in the Plan and this Agreement. The Corporation shall cause an account (the “</w:t>
      </w:r>
      <w:r>
        <w:rPr>
          <w:rFonts w:ascii="Arial" w:cs="Arial" w:eastAsia="Arial" w:hAnsi="Arial"/>
          <w:sz w:val="18"/>
          <w:szCs w:val="18"/>
          <w:u w:val="single" w:color="auto"/>
          <w:color w:val="auto"/>
        </w:rPr>
        <w:t>Unit Account</w:t>
      </w:r>
      <w:r>
        <w:rPr>
          <w:rFonts w:ascii="Arial" w:cs="Arial" w:eastAsia="Arial" w:hAnsi="Arial"/>
          <w:sz w:val="18"/>
          <w:szCs w:val="18"/>
          <w:color w:val="auto"/>
        </w:rPr>
        <w:t>”) to be established and maintained on the books of the Corporation to record the number of Performance Units credited to the Participant under the terms of this Agreement. The Participant’s interest in the Unit Account shall be that of a general, unsecured creditor of the Corporation.</w:t>
      </w:r>
    </w:p>
    <w:p>
      <w:pPr>
        <w:spacing w:after="0" w:line="182" w:lineRule="exact"/>
        <w:rPr>
          <w:rFonts w:ascii="Arial" w:cs="Arial" w:eastAsia="Arial" w:hAnsi="Arial"/>
          <w:sz w:val="18"/>
          <w:szCs w:val="18"/>
          <w:color w:val="auto"/>
        </w:rPr>
      </w:pPr>
    </w:p>
    <w:p>
      <w:pPr>
        <w:jc w:val="both"/>
        <w:ind w:left="-656" w:firstLine="656"/>
        <w:spacing w:after="0" w:line="257" w:lineRule="auto"/>
        <w:tabs>
          <w:tab w:leader="none" w:pos="477"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provided in Sections 6 and 7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shall mean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beginning on the Grant Date and expiring on the third anniversary of the Grant Date, but only if (a) and to the extent the Corporation has achieved the performance targets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other terms and conditions set forth therein have been met) as certified by the Committee in accordance with the Plan, and (b) subject to Section 7(b) hereof, the Participant has remained in service with the Corporation or any of its Affiliates continuously until that date; provided, that if later, the Restricted Period shall end on the date on which the Committee provides the certification set forth in (a) above.</w:t>
      </w:r>
    </w:p>
    <w:p>
      <w:pPr>
        <w:spacing w:after="0" w:line="182" w:lineRule="exact"/>
        <w:rPr>
          <w:rFonts w:ascii="Arial" w:cs="Arial" w:eastAsia="Arial" w:hAnsi="Arial"/>
          <w:sz w:val="18"/>
          <w:szCs w:val="18"/>
          <w:color w:val="auto"/>
        </w:rPr>
      </w:pPr>
    </w:p>
    <w:p>
      <w:pPr>
        <w:jc w:val="both"/>
        <w:ind w:left="-656" w:firstLine="656"/>
        <w:spacing w:after="0" w:line="255" w:lineRule="auto"/>
        <w:tabs>
          <w:tab w:leader="none" w:pos="356"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w:t>
      </w:r>
      <w:r>
        <w:rPr>
          <w:rFonts w:ascii="Arial" w:cs="Arial" w:eastAsia="Arial" w:hAnsi="Arial"/>
          <w:sz w:val="18"/>
          <w:szCs w:val="18"/>
          <w:color w:val="auto"/>
        </w:rPr>
        <w:t>. The Participant shall be entitled to settlement of the Performance Units covered by this Agreement at the time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Restricted Period ends with respect to such Performance Units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Such settlement shall be made as promptly as practicable thereafter (but in no event after the thirtieth day following the end of the Restricted Period) through, in the sole discretion of the Committee, either (a) the issuance to the Participant (or to the executors or administrators of Participant’s estate in the event of the Participant’s death) of a stock certificate (or evidence such Stock has been registered in book entry form in the name of the Participant with the relevant stock agent) for a number of shares of Stock equal to the number of such vested Performance Units, or (b) a payment of cash to the Participant (or to the executors or administrators of Participant’s estate in the event of the Participant’s death) equal to the Fair Market Value of the Stock that would otherwise have been issued pursuant to (a) above.</w:t>
      </w:r>
    </w:p>
    <w:p>
      <w:pPr>
        <w:sectPr>
          <w:pgSz w:w="11900" w:h="16838" w:orient="portrait"/>
          <w:cols w:equalWidth="0" w:num="1">
            <w:col w:w="10764"/>
          </w:cols>
          <w:pgMar w:left="896" w:top="895" w:right="239" w:bottom="1440" w:gutter="0" w:footer="0" w:header="0"/>
        </w:sectPr>
      </w:pPr>
    </w:p>
    <w:bookmarkStart w:id="107" w:name="page108"/>
    <w:bookmarkEnd w:id="107"/>
    <w:p>
      <w:pPr>
        <w:jc w:val="both"/>
        <w:ind w:firstLine="656"/>
        <w:spacing w:after="0" w:line="266" w:lineRule="auto"/>
        <w:tabs>
          <w:tab w:leader="none" w:pos="1012"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Units may not be assigned, alienated, pledged, attached, sold or otherwise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encumbered by Participant other than by will or the laws of descent and distribution. Any sale, assignment, transfer, pledge, hypothecation, loan or other disposition other than in accordance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null and void.</w:t>
      </w:r>
    </w:p>
    <w:p>
      <w:pPr>
        <w:spacing w:after="0" w:line="176" w:lineRule="exact"/>
        <w:rPr>
          <w:rFonts w:ascii="Arial" w:cs="Arial" w:eastAsia="Arial" w:hAnsi="Arial"/>
          <w:sz w:val="18"/>
          <w:szCs w:val="18"/>
          <w:color w:val="auto"/>
        </w:rPr>
      </w:pPr>
    </w:p>
    <w:p>
      <w:pPr>
        <w:ind w:left="1000" w:hanging="344"/>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Control During 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occurrence of a Change in Control,</w:t>
      </w:r>
    </w:p>
    <w:p>
      <w:pPr>
        <w:spacing w:after="0" w:line="243" w:lineRule="exact"/>
        <w:rPr>
          <w:rFonts w:ascii="Arial" w:cs="Arial" w:eastAsia="Arial" w:hAnsi="Arial"/>
          <w:sz w:val="18"/>
          <w:szCs w:val="18"/>
          <w:color w:val="auto"/>
        </w:rPr>
      </w:pPr>
    </w:p>
    <w:p>
      <w:pPr>
        <w:jc w:val="both"/>
        <w:ind w:firstLine="1305"/>
        <w:spacing w:after="0" w:line="251" w:lineRule="auto"/>
        <w:tabs>
          <w:tab w:leader="none" w:pos="17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the Successor assumes the Award granted hereby, (i) any in process Performance Periods shall end upon the date immediately preceding the Change in Control, (ii) the number of Performance Units that shall be eligible to vest shall be (A) the Target Award, if less than one-half of the Performance Period has elapsed prior to the effective date of the Change in Control, or (B) the actual number of Performance Units that would have vested if the date of the Change in Control were the end of the Performance Period and the actual performance as of that date had been the actual performance for the entire Performance Period, if one-half or more of the Performance Period has elapsed prior to the effective date of the Change in Control, (iii) the Restricted Period will end on the third anniversary of the Grant Date, and (iv) notwithstanding Section 7 below, in the event the Participant’s employment with the Successor is terminated without Cause by the Successor, or for Good Reason by the Participant, prior to the expiration of the Restricted Period, the number of Performance Units otherwise eligible to vest pursuant to this paragraph shall immediately vest (and the Restricted Period with respect thereto shall immediately terminate) and be settled in accordance with Section 4 upon the Participant’s termination of employment.</w:t>
      </w:r>
    </w:p>
    <w:p>
      <w:pPr>
        <w:spacing w:after="0" w:line="212" w:lineRule="exact"/>
        <w:rPr>
          <w:rFonts w:ascii="Arial" w:cs="Arial" w:eastAsia="Arial" w:hAnsi="Arial"/>
          <w:sz w:val="18"/>
          <w:szCs w:val="18"/>
          <w:color w:val="auto"/>
        </w:rPr>
      </w:pPr>
    </w:p>
    <w:p>
      <w:pPr>
        <w:jc w:val="both"/>
        <w:ind w:firstLine="1305"/>
        <w:spacing w:after="0" w:line="250" w:lineRule="auto"/>
        <w:tabs>
          <w:tab w:leader="none" w:pos="17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the Successor does not assume the Award granted hereby, the Restricted Period shall end with respect to a number of Performance Units equal to (A) the Target Award, if less than one-half of the Performance Period has elapsed prior to the effective date of the Change in Control, or (B) the actual number of Performance Units that would have vested if the date of the Change in Control were the end of the Performance Period and the actual performance as of that date had been the actual performance for the entire Performance Period, if one-half or more of the Performance Period has elapsed prior to the effective date of the Change in Control, and the appropriate number of Performance Units shall become vested and settled in accordance with Section 4.</w:t>
      </w:r>
    </w:p>
    <w:p>
      <w:pPr>
        <w:spacing w:after="0" w:line="2" w:lineRule="exact"/>
        <w:rPr>
          <w:rFonts w:ascii="Arial" w:cs="Arial" w:eastAsia="Arial" w:hAnsi="Arial"/>
          <w:sz w:val="18"/>
          <w:szCs w:val="18"/>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For purposes of evaluating performance for any shortened Performance Period, appropriate adjustments to the performance targets, performance periods and the determination of actual performance shall be made by the Committee to carry out the intent of this paragraph 6.</w:t>
      </w:r>
    </w:p>
    <w:p>
      <w:pPr>
        <w:spacing w:after="0" w:line="178" w:lineRule="exact"/>
        <w:rPr>
          <w:rFonts w:ascii="Arial" w:cs="Arial" w:eastAsia="Arial" w:hAnsi="Arial"/>
          <w:sz w:val="18"/>
          <w:szCs w:val="18"/>
          <w:color w:val="auto"/>
        </w:rPr>
      </w:pPr>
    </w:p>
    <w:p>
      <w:pPr>
        <w:ind w:right="20" w:firstLine="656"/>
        <w:spacing w:after="0" w:line="282" w:lineRule="auto"/>
        <w:tabs>
          <w:tab w:leader="none" w:pos="1039"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Employment During Restricted Period</w:t>
      </w:r>
      <w:r>
        <w:rPr>
          <w:rFonts w:ascii="Arial" w:cs="Arial" w:eastAsia="Arial" w:hAnsi="Arial"/>
          <w:sz w:val="18"/>
          <w:szCs w:val="18"/>
          <w:color w:val="auto"/>
        </w:rPr>
        <w:t>. In the event that the Participant’s employment with the Corporation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is terminated prior to the expiration of the Restricted Period,</w:t>
      </w:r>
    </w:p>
    <w:p>
      <w:pPr>
        <w:spacing w:after="0" w:line="179" w:lineRule="exact"/>
        <w:rPr>
          <w:rFonts w:ascii="Arial" w:cs="Arial" w:eastAsia="Arial" w:hAnsi="Arial"/>
          <w:sz w:val="18"/>
          <w:szCs w:val="18"/>
          <w:color w:val="auto"/>
        </w:rPr>
      </w:pPr>
    </w:p>
    <w:p>
      <w:pPr>
        <w:ind w:right="20" w:firstLine="1305"/>
        <w:spacing w:after="0" w:line="262" w:lineRule="auto"/>
        <w:tabs>
          <w:tab w:leader="none" w:pos="17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as otherwise provided in subsection (b) below, the Participant shall forfeit the Performance Units and all of the Participant’s rights hereunder shall cease; and</w:t>
      </w:r>
    </w:p>
    <w:p>
      <w:pPr>
        <w:spacing w:after="0" w:line="196" w:lineRule="exact"/>
        <w:rPr>
          <w:rFonts w:ascii="Arial" w:cs="Arial" w:eastAsia="Arial" w:hAnsi="Arial"/>
          <w:sz w:val="18"/>
          <w:szCs w:val="18"/>
          <w:color w:val="auto"/>
        </w:rPr>
      </w:pPr>
    </w:p>
    <w:p>
      <w:pPr>
        <w:jc w:val="both"/>
        <w:ind w:firstLine="1305"/>
        <w:spacing w:after="0" w:line="251" w:lineRule="auto"/>
        <w:tabs>
          <w:tab w:leader="none" w:pos="17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in the event that the Participant’s employment with the Corporation and its subsidiaries is terminated on account of a Qualified Retirement, the Participant shall not forfeit the Performance Units, and the Performance Units shall be continue to be governed by Section 3 to Section 6 (inclusive) of this Agreement as if the Participant’s employment had not terminated, except that the number of Performance Units that would otherwise be settled pursuant to Section 4 or Section 6 shall be multiplied by a fraction, the numerator of which is the number of days during the Performance Period during which the Participant was employed by the Corporation (or any subsidiary) and the denominator of which is the total number of days in the Performance Period, and such reduced number of Performance Units shall be settled in accordance with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Participant shall forfeit all rights to the Performance Units if following a Qualified Retirement and prior to the settlement of the Performance Units, the Participant (A) directly or indirectly, either as principal, manager, agent, consultant, officer, stockholder, partner, investor, lender or employee or in any other capacity, carries on, is engaged in or has any financial interest in, any (i) entity which is in Competition with the business of the Corporation or its Affiliates or (ii) Competitive Activity or (B) on his or her own behalf or on behalf of any person, firm or company, directly</w:t>
      </w:r>
    </w:p>
    <w:p>
      <w:pPr>
        <w:sectPr>
          <w:pgSz w:w="11900" w:h="16838" w:orient="portrait"/>
          <w:cols w:equalWidth="0" w:num="1">
            <w:col w:w="11420"/>
          </w:cols>
          <w:pgMar w:left="240" w:top="877" w:right="239" w:bottom="1440" w:gutter="0" w:footer="0" w:header="0"/>
        </w:sectPr>
      </w:pPr>
    </w:p>
    <w:bookmarkStart w:id="108" w:name="page109"/>
    <w:bookmarkEnd w:id="108"/>
    <w:p>
      <w:pPr>
        <w:jc w:val="both"/>
        <w:spacing w:after="0" w:line="253" w:lineRule="auto"/>
        <w:rPr>
          <w:sz w:val="20"/>
          <w:szCs w:val="20"/>
          <w:color w:val="auto"/>
        </w:rPr>
      </w:pPr>
      <w:r>
        <w:rPr>
          <w:rFonts w:ascii="Arial" w:cs="Arial" w:eastAsia="Arial" w:hAnsi="Arial"/>
          <w:sz w:val="18"/>
          <w:szCs w:val="18"/>
          <w:color w:val="auto"/>
        </w:rPr>
        <w:t xml:space="preserve">or indirectly, solicits or offers employment to any person who is or has been employed by the Corporation or its Affiliates at any time during the twelve (12) months immediately preceding such solicitation;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event of a Change in Control following a Qualified Retirement, the number of Performance Units that shall be eligible to vest shall be determined in accordance with Section 6 above, and the number of Performance Units so determined shall immediately vest (and the Restricted Period with respect thereto shall immediately terminate) and be settled in accordance with Section 4 upon the Change in Control. For purposes of this Section 7(b):</w:t>
      </w:r>
    </w:p>
    <w:p>
      <w:pPr>
        <w:spacing w:after="0" w:line="206" w:lineRule="exact"/>
        <w:rPr>
          <w:sz w:val="20"/>
          <w:szCs w:val="20"/>
          <w:color w:val="auto"/>
        </w:rPr>
      </w:pPr>
    </w:p>
    <w:p>
      <w:pPr>
        <w:jc w:val="both"/>
        <w:ind w:firstLine="1953"/>
        <w:spacing w:after="0" w:line="254" w:lineRule="auto"/>
        <w:tabs>
          <w:tab w:leader="none" w:pos="23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entity shall be deemed to be in “Competition” with the Corporation or its Affiliates if it is principally involved in the purchase, sale or other dealing in any property or the rendering of any service purchased, sold, dealt in or rendered by the Corporation or its Affiliates as a part of the business of the Corporation or its Affiliates within the same geographic area in which the Corporation effects such sales or dealings or renders such services at the Relevant Date;</w:t>
      </w:r>
    </w:p>
    <w:p>
      <w:pPr>
        <w:spacing w:after="0" w:line="204" w:lineRule="exact"/>
        <w:rPr>
          <w:rFonts w:ascii="Arial" w:cs="Arial" w:eastAsia="Arial" w:hAnsi="Arial"/>
          <w:sz w:val="18"/>
          <w:szCs w:val="18"/>
          <w:color w:val="auto"/>
        </w:rPr>
      </w:pPr>
    </w:p>
    <w:p>
      <w:pPr>
        <w:jc w:val="both"/>
        <w:ind w:firstLine="1953"/>
        <w:spacing w:after="0" w:line="256" w:lineRule="auto"/>
        <w:tabs>
          <w:tab w:leader="none" w:pos="2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“Competitive Activity” shall mean any business into which the Corporation or any of its Affiliates has taken substantial steps to engage, as of the Relevant Date, which would be deemed to be in Competition with the business of the Corporation or its Affiliates if such steps had been completed prior to the Relevant Date; and</w:t>
      </w:r>
    </w:p>
    <w:p>
      <w:pPr>
        <w:spacing w:after="0" w:line="201" w:lineRule="exact"/>
        <w:rPr>
          <w:rFonts w:ascii="Arial" w:cs="Arial" w:eastAsia="Arial" w:hAnsi="Arial"/>
          <w:sz w:val="18"/>
          <w:szCs w:val="18"/>
          <w:color w:val="auto"/>
        </w:rPr>
      </w:pPr>
    </w:p>
    <w:p>
      <w:pPr>
        <w:ind w:firstLine="1953"/>
        <w:spacing w:after="0" w:line="262" w:lineRule="auto"/>
        <w:tabs>
          <w:tab w:leader="none" w:pos="25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“Relevant Date” shall mean the effective date of the termination of the Participant’s employment with the Corporation and its subsidiaries.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the Committee shall have the discretion to provide for the vesting of all or a portion of the Performance Units and the settlement thereof upon or following the Participant’s termination of employment in circumstances such as Participant’s death, disability or retirement (other than a Qualified Retirement) as the Committee shall determine in its sole discretion. The Participant’s rights to the Performance Units shall not be affected by any change in the nature of the Participant’s employment so long as the Participant continues to be an employee or other applicable service provider, within the discretion of the Committee, of the Corporation or any of its Subsidiaries.</w:t>
      </w:r>
    </w:p>
    <w:p>
      <w:pPr>
        <w:spacing w:after="0" w:line="188" w:lineRule="exact"/>
        <w:rPr>
          <w:sz w:val="20"/>
          <w:szCs w:val="20"/>
          <w:color w:val="auto"/>
        </w:rPr>
      </w:pPr>
    </w:p>
    <w:p>
      <w:pPr>
        <w:jc w:val="both"/>
        <w:ind w:firstLine="656"/>
        <w:spacing w:after="0" w:line="252" w:lineRule="auto"/>
        <w:tabs>
          <w:tab w:leader="none" w:pos="998"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If the Corporation pays a cash dividend on its common stock, the Participant shall accrue in his or her Dividend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below) a cash dividend equivalent with respect to the maximum number of Performance Units issuable pursuant to this Agreement as of the record date for the dividend. The Corporation shall cause an account (the “</w:t>
      </w:r>
      <w:r>
        <w:rPr>
          <w:rFonts w:ascii="Arial" w:cs="Arial" w:eastAsia="Arial" w:hAnsi="Arial"/>
          <w:sz w:val="18"/>
          <w:szCs w:val="18"/>
          <w:u w:val="single" w:color="auto"/>
          <w:color w:val="auto"/>
        </w:rPr>
        <w:t>Dividend Account</w:t>
      </w:r>
      <w:r>
        <w:rPr>
          <w:rFonts w:ascii="Arial" w:cs="Arial" w:eastAsia="Arial" w:hAnsi="Arial"/>
          <w:sz w:val="18"/>
          <w:szCs w:val="18"/>
          <w:color w:val="auto"/>
        </w:rPr>
        <w:t xml:space="preserve">”) to be established and maintained as part of the records of the Corporation to evidence the aggregate cash dividend equivalents accrued by the Participant from time to time under this Section. No interest shall accrue on any amounts reflected in the Dividend Account. The Participant’s interest in the amounts reflected in the Dividend Account shall be that of a general, unsecured creditor of the Corporation. Subject to, and as promptly as practicable following, the settlement of the Share Units pursuant to Section 4 hereunder, the Corporation shall pay an amount in cash (without interest and subject to applicable withholding taxes) to the Participant (or his or her permitted transferee(s) who are issued Stock or cash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hereunder) equal to the aggregate cash dividend equivalents accrued in the Participant’s Dividend Account with respect to the vested Performance Units settled with the Participant and the Participant’s Dividend Account shall be eliminated at that time. In the event that the Participant forfeits his or her rights to all or any portion of the Performance Units (or such Performance Units are otherwise cancelled on account of the Company’s actual performance), the Participant also shall forfeit his or her rights to any cash dividend equivalents accrued in the Participant’s Dividend Account with respect to such forfeited Share Units and the Participant’s Dividend Account shall be eliminated at that time. For the avoidance of doubt, no dividend equivalent rights shall accrue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 respect to a dividend on the Corporation’s Stock in the event that any applicable adjustments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provide similar benefits.</w:t>
      </w:r>
    </w:p>
    <w:p>
      <w:pPr>
        <w:spacing w:after="0" w:line="197" w:lineRule="exact"/>
        <w:rPr>
          <w:rFonts w:ascii="Arial" w:cs="Arial" w:eastAsia="Arial" w:hAnsi="Arial"/>
          <w:sz w:val="18"/>
          <w:szCs w:val="18"/>
          <w:color w:val="auto"/>
        </w:rPr>
      </w:pPr>
    </w:p>
    <w:p>
      <w:pPr>
        <w:jc w:val="both"/>
        <w:ind w:firstLine="656"/>
        <w:spacing w:after="0" w:line="266" w:lineRule="auto"/>
        <w:tabs>
          <w:tab w:leader="none" w:pos="1052"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 to Continued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Nothing in this Agreement or the Plan shall be interpreted or construed to confer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any right to continue employment by the Corporation or any of its subsidiaries, nor shall this Agreement or the Plan interfere in any way with the right of the</w:t>
      </w:r>
    </w:p>
    <w:p>
      <w:pPr>
        <w:sectPr>
          <w:pgSz w:w="11900" w:h="16838" w:orient="portrait"/>
          <w:cols w:equalWidth="0" w:num="1">
            <w:col w:w="11420"/>
          </w:cols>
          <w:pgMar w:left="240" w:top="895" w:right="239" w:bottom="1440" w:gutter="0" w:footer="0" w:header="0"/>
        </w:sectPr>
      </w:pPr>
    </w:p>
    <w:bookmarkStart w:id="109" w:name="page110"/>
    <w:bookmarkEnd w:id="109"/>
    <w:p>
      <w:pPr>
        <w:spacing w:after="0" w:line="262" w:lineRule="auto"/>
        <w:rPr>
          <w:sz w:val="20"/>
          <w:szCs w:val="20"/>
          <w:color w:val="auto"/>
        </w:rPr>
      </w:pPr>
      <w:r>
        <w:rPr>
          <w:rFonts w:ascii="Arial" w:cs="Arial" w:eastAsia="Arial" w:hAnsi="Arial"/>
          <w:sz w:val="18"/>
          <w:szCs w:val="18"/>
          <w:color w:val="auto"/>
        </w:rPr>
        <w:t>Corporation or any of its subsidiaries to terminate the Participant’s employment at any time for any reason whatsoever, whether or not with cause.</w:t>
      </w:r>
    </w:p>
    <w:p>
      <w:pPr>
        <w:spacing w:after="0" w:line="178" w:lineRule="exact"/>
        <w:rPr>
          <w:sz w:val="20"/>
          <w:szCs w:val="20"/>
          <w:color w:val="auto"/>
        </w:rPr>
      </w:pPr>
    </w:p>
    <w:p>
      <w:pPr>
        <w:jc w:val="both"/>
        <w:ind w:firstLine="656"/>
        <w:spacing w:after="0" w:line="261" w:lineRule="auto"/>
        <w:tabs>
          <w:tab w:leader="none" w:pos="1112"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Rights as a Stockholder</w:t>
      </w:r>
      <w:r>
        <w:rPr>
          <w:rFonts w:ascii="Arial" w:cs="Arial" w:eastAsia="Arial" w:hAnsi="Arial"/>
          <w:sz w:val="18"/>
          <w:szCs w:val="18"/>
          <w:color w:val="auto"/>
        </w:rPr>
        <w:t>. The Participant’s interest in the Performance Units shall not entitle the Participant to any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stockholder of the Corporation. The Participant shall not be deemed to be the holder of, or have any of the rights and privileges of a stockholder of the Corporation in respect of, the shares of Stock unless and until such shares have been issued to the Participant in accordance with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656"/>
        <w:spacing w:after="0" w:line="255" w:lineRule="auto"/>
        <w:tabs>
          <w:tab w:leader="none" w:pos="1301"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 in Capitalization</w:t>
      </w:r>
      <w:r>
        <w:rPr>
          <w:rFonts w:ascii="Arial" w:cs="Arial" w:eastAsia="Arial" w:hAnsi="Arial"/>
          <w:sz w:val="18"/>
          <w:szCs w:val="18"/>
          <w:color w:val="auto"/>
        </w:rPr>
        <w:t>. In the event of any reorganization,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split, spin-offs, stock dividend or similar capital adjustment, as a result of which shares of any class shall be issued in respect of outstanding shares of the Corporation’s Stock or shares of Corporation’s Stock shall be changed into a different number of shares or into another class or classes or into other property or cash, the number of Performance Units shall be adjusted to reflect such event so as to preserve (without enlarging) the value of the award hereunder, with the manner of such adjustment to be determined by the Committee in its sole discretion. This paragraph shall also apply with respect to any extraordinary dividend or other extraordinary distribution in respect of the Corporation’s Common Stock (whether in the form of cash or other property).</w:t>
      </w:r>
    </w:p>
    <w:p>
      <w:pPr>
        <w:spacing w:after="0" w:line="189" w:lineRule="exact"/>
        <w:rPr>
          <w:rFonts w:ascii="Arial" w:cs="Arial" w:eastAsia="Arial" w:hAnsi="Arial"/>
          <w:sz w:val="18"/>
          <w:szCs w:val="18"/>
          <w:color w:val="auto"/>
        </w:rPr>
      </w:pPr>
    </w:p>
    <w:p>
      <w:pPr>
        <w:jc w:val="both"/>
        <w:ind w:firstLine="656"/>
        <w:spacing w:after="0" w:line="258" w:lineRule="auto"/>
        <w:tabs>
          <w:tab w:leader="none" w:pos="1166"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Company Clawback Policy</w:t>
      </w:r>
      <w:r>
        <w:rPr>
          <w:rFonts w:ascii="Arial" w:cs="Arial" w:eastAsia="Arial" w:hAnsi="Arial"/>
          <w:sz w:val="18"/>
          <w:szCs w:val="18"/>
          <w:color w:val="auto"/>
        </w:rPr>
        <w:t>. Notwithstanding any provision of the Plan or this Agreement to the contrary, the Corporation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Participant to return shares of Stock (or the value of such Stock when originally released to Participant), cash paid to the Participant upon settlement of the Performance Units, cash paid from the Dividend Account and any other amount required by law to be returned, in the event that such repayment is required in order to comply with the Corporation’s clawback policy as then in effect or any laws or regulations relating to restatements of the Corporation’s publicly-reported financial results.</w:t>
      </w:r>
    </w:p>
    <w:p>
      <w:pPr>
        <w:spacing w:after="0" w:line="183" w:lineRule="exact"/>
        <w:rPr>
          <w:rFonts w:ascii="Arial" w:cs="Arial" w:eastAsia="Arial" w:hAnsi="Arial"/>
          <w:sz w:val="18"/>
          <w:szCs w:val="18"/>
          <w:color w:val="auto"/>
        </w:rPr>
      </w:pPr>
    </w:p>
    <w:p>
      <w:pPr>
        <w:jc w:val="both"/>
        <w:ind w:firstLine="656"/>
        <w:spacing w:after="0" w:line="266" w:lineRule="auto"/>
        <w:tabs>
          <w:tab w:leader="none" w:pos="1179"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 Restrictions</w:t>
      </w:r>
      <w:r>
        <w:rPr>
          <w:rFonts w:ascii="Arial" w:cs="Arial" w:eastAsia="Arial" w:hAnsi="Arial"/>
          <w:sz w:val="18"/>
          <w:szCs w:val="18"/>
          <w:color w:val="auto"/>
        </w:rPr>
        <w:t>. Notwithstanding anything in this Agreement to the contrary, the Corporation shall have no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the Stock as contemplated by this agreement unless and until such transfer shall comply with all relevant provisions of law and the requirements of any stock exchange on which the Corporation’s shares are listed for trading.</w:t>
      </w:r>
    </w:p>
    <w:p>
      <w:pPr>
        <w:spacing w:after="0" w:line="176" w:lineRule="exact"/>
        <w:rPr>
          <w:rFonts w:ascii="Arial" w:cs="Arial" w:eastAsia="Arial" w:hAnsi="Arial"/>
          <w:sz w:val="18"/>
          <w:szCs w:val="18"/>
          <w:color w:val="auto"/>
        </w:rPr>
      </w:pPr>
    </w:p>
    <w:p>
      <w:pPr>
        <w:jc w:val="both"/>
        <w:ind w:firstLine="656"/>
        <w:spacing w:after="0" w:line="254" w:lineRule="auto"/>
        <w:tabs>
          <w:tab w:leader="none" w:pos="1166"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Tax Withholding</w:t>
      </w:r>
      <w:r>
        <w:rPr>
          <w:rFonts w:ascii="Arial" w:cs="Arial" w:eastAsia="Arial" w:hAnsi="Arial"/>
          <w:sz w:val="18"/>
          <w:szCs w:val="18"/>
          <w:color w:val="auto"/>
        </w:rPr>
        <w:t>. Upon the expiration or termination of the Restricted Period, the Participant shall remit to the 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amount necessary to satisfy Federal, state, local or foreign withholding tax requirements, if any (“</w:t>
      </w: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as a condition to the Corporation’s issuance of any Stock (and any related dividend equivalent amounts) or cash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The payment shall be in cash, unless otherwise provided by the Corporation to allow (i) the delivery of shares of Stock, (ii) a reduction in the number of shares of Stock otherwise deliverable or other amounts otherwise payable to the Participant pursuant to this Agreement, or (iii) a combination of (i) and/or (ii). The value of any Stock delivered or withheld as payment in respect of withholding tax requirements shall be determined by reference to the Fair Market Value of such Stock as of the date of such withholding or delivery. In the event that Withholding Taxes are satisfied by withholding a portion of the Stock otherwise deliverable to the Participant pursuant to this Agreement, the Corporation shall not withhold any Stock in excess of the minimum number of shares of Stock necessary to satisfy the applicable Withholding Taxes.</w:t>
      </w:r>
    </w:p>
    <w:p>
      <w:pPr>
        <w:spacing w:after="0" w:line="189" w:lineRule="exact"/>
        <w:rPr>
          <w:rFonts w:ascii="Arial" w:cs="Arial" w:eastAsia="Arial" w:hAnsi="Arial"/>
          <w:sz w:val="18"/>
          <w:szCs w:val="18"/>
          <w:color w:val="auto"/>
        </w:rPr>
      </w:pPr>
    </w:p>
    <w:p>
      <w:pPr>
        <w:ind w:firstLine="656"/>
        <w:spacing w:after="0" w:line="282"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Plan Governs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hereby acknowledges receipt of a copy of the Plan and agrees to be bound by its terms,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herein by reference. The Plan shall govern in the event of any conflict between this Agreement and the Plan.</w:t>
      </w:r>
    </w:p>
    <w:p>
      <w:pPr>
        <w:spacing w:after="0" w:line="161" w:lineRule="exact"/>
        <w:rPr>
          <w:rFonts w:ascii="Arial" w:cs="Arial" w:eastAsia="Arial" w:hAnsi="Arial"/>
          <w:sz w:val="18"/>
          <w:szCs w:val="18"/>
          <w:color w:val="auto"/>
        </w:rPr>
      </w:pPr>
    </w:p>
    <w:p>
      <w:pPr>
        <w:jc w:val="both"/>
        <w:ind w:right="20" w:firstLine="656"/>
        <w:spacing w:after="0" w:line="266" w:lineRule="auto"/>
        <w:tabs>
          <w:tab w:leader="none" w:pos="1139"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Modification of Agreement</w:t>
      </w:r>
      <w:r>
        <w:rPr>
          <w:rFonts w:ascii="Arial" w:cs="Arial" w:eastAsia="Arial" w:hAnsi="Arial"/>
          <w:sz w:val="18"/>
          <w:szCs w:val="18"/>
          <w:color w:val="auto"/>
        </w:rPr>
        <w:t>. This Agreement may be modified, amended, suspended or terminated, and any terms or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waived, but, subject to the terms and conditions of the Plan and this Agreement, only by a written instrument executed by the parties hereto.</w:t>
      </w:r>
    </w:p>
    <w:p>
      <w:pPr>
        <w:sectPr>
          <w:pgSz w:w="11900" w:h="16838" w:orient="portrait"/>
          <w:cols w:equalWidth="0" w:num="1">
            <w:col w:w="11420"/>
          </w:cols>
          <w:pgMar w:left="240" w:top="895" w:right="239" w:bottom="1440" w:gutter="0" w:footer="0" w:header="0"/>
        </w:sectPr>
      </w:pPr>
    </w:p>
    <w:bookmarkStart w:id="110" w:name="page111"/>
    <w:bookmarkEnd w:id="110"/>
    <w:p>
      <w:pPr>
        <w:jc w:val="both"/>
        <w:ind w:firstLine="656"/>
        <w:spacing w:after="0" w:line="252" w:lineRule="auto"/>
        <w:tabs>
          <w:tab w:leader="none" w:pos="1098"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anything herein to the contrary, to the maximum extent permitted by applicable law, the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Units (including any dividend equivalent rights related thereto) to be made to the Participant pursuant to this Agreement is intended to qualify as a “short-term deferral” pursuant to Section 1.409A-1(b)(4) of the Regulations and this Agreement shall be interpreted consistently therewith. However, under certain circumstances, settlement of the Performance Units or any dividend equivalent rights may not so qualify, and in that case, the Committee shall administer the grant and settlement of such Performance Units and any dividend equivalent rights in strict compliance with Section 409A of the Code. Further, notwithstanding anything herein to the contrary, if at the time of a Participant’s termination of employment with the Corporation and its Subsidiaries, the Participant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Corporation will defer the commencement of the payment of any such payments or benefits hereunder (without any reduction in such payments or benefits ultimately paid or provided to the Participant) to the minimum extent necessary to satisfy Section 409A of the Code until the date that is six months and one day following the Participant’s termination of employment with the Corporation (or the earliest date as is permitted under Section 409A of the Code), if such payment or benefit is payable upon a termination of employment. For purposes of this Agreement, a “termination of employment” shall have the same meaning as “separation from service” under Section 409A of the Code and Grantee shall be deemed to have remained employed so long as Grantee has not “separated from service” with the Corporation or Successor. Each payment of Performance Units (and related dividend equivalent units) constitutes a “separate payment” for purposes of Section 409A of the Code.</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Severability</w:t>
      </w:r>
      <w:r>
        <w:rPr>
          <w:rFonts w:ascii="Arial" w:cs="Arial" w:eastAsia="Arial" w:hAnsi="Arial"/>
          <w:sz w:val="18"/>
          <w:szCs w:val="18"/>
          <w:color w:val="auto"/>
        </w:rPr>
        <w:t>.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76" w:lineRule="exact"/>
        <w:rPr>
          <w:sz w:val="20"/>
          <w:szCs w:val="20"/>
          <w:color w:val="auto"/>
        </w:rPr>
      </w:pPr>
    </w:p>
    <w:p>
      <w:pPr>
        <w:jc w:val="both"/>
        <w:ind w:firstLine="656"/>
        <w:spacing w:after="0" w:line="261" w:lineRule="auto"/>
        <w:tabs>
          <w:tab w:leader="none" w:pos="1112"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without giving effect to the conflicts of laws principles thereof. If the Participant has received a copy of this Agreement (or the Plan or any other document related hereto or thereto) translated into a language other than English, such translated copy is qualified in its entirety by reference to the English version thereof, and in the event of any conflict the English version will govern.</w:t>
      </w:r>
    </w:p>
    <w:p>
      <w:pPr>
        <w:spacing w:after="0" w:line="180" w:lineRule="exact"/>
        <w:rPr>
          <w:rFonts w:ascii="Arial" w:cs="Arial" w:eastAsia="Arial" w:hAnsi="Arial"/>
          <w:sz w:val="18"/>
          <w:szCs w:val="18"/>
          <w:color w:val="auto"/>
        </w:rPr>
      </w:pPr>
    </w:p>
    <w:p>
      <w:pPr>
        <w:jc w:val="both"/>
        <w:ind w:firstLine="656"/>
        <w:spacing w:after="0" w:line="261" w:lineRule="auto"/>
        <w:tabs>
          <w:tab w:leader="none" w:pos="1098"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Successors in Interest</w:t>
      </w:r>
      <w:r>
        <w:rPr>
          <w:rFonts w:ascii="Arial" w:cs="Arial" w:eastAsia="Arial" w:hAnsi="Arial"/>
          <w:sz w:val="18"/>
          <w:szCs w:val="18"/>
          <w:color w:val="auto"/>
        </w:rPr>
        <w:t>. This Agreement shall inure to the benefit of and be binding upon any successor to the Corporation.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inure to the benefit of the Participant or the Participant’s legal representatives. All obligations imposed upon the Participant and all rights granted to the Corporation under this Agreement shall be final, binding and conclusive upon the Participant’s heirs, executors, administrators and successors.</w:t>
      </w:r>
    </w:p>
    <w:p>
      <w:pPr>
        <w:spacing w:after="0" w:line="180" w:lineRule="exact"/>
        <w:rPr>
          <w:rFonts w:ascii="Arial" w:cs="Arial" w:eastAsia="Arial" w:hAnsi="Arial"/>
          <w:sz w:val="18"/>
          <w:szCs w:val="18"/>
          <w:color w:val="auto"/>
        </w:rPr>
      </w:pPr>
    </w:p>
    <w:p>
      <w:pPr>
        <w:jc w:val="both"/>
        <w:ind w:firstLine="656"/>
        <w:spacing w:after="0" w:line="257" w:lineRule="auto"/>
        <w:tabs>
          <w:tab w:leader="none" w:pos="1166"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w:t>
      </w:r>
      <w:r>
        <w:rPr>
          <w:rFonts w:ascii="Arial" w:cs="Arial" w:eastAsia="Arial" w:hAnsi="Arial"/>
          <w:sz w:val="18"/>
          <w:szCs w:val="18"/>
          <w:color w:val="auto"/>
        </w:rPr>
        <w:t>. The Committee shall have the power to interpret the Plan and this Agreement and to adopt such rules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interpretation and application of the Plan as are consistent therewith and to interpret or revoke any such rules. All actions taken and all interpretations and determinations made by the Committee shall be final and binding upon the Participant, the Corporation and all other interested persons. No member of the Committee shall be personally liable for any action determination or interpretation made in good faith with respect to the Plan or the Performance Units. In its absolute discretion, the Board of Directors may at any time and from time to time exercise any and all rights and duties of the Committee under the Plan and this Agreement.</w:t>
      </w:r>
    </w:p>
    <w:p>
      <w:pPr>
        <w:spacing w:after="0" w:line="182" w:lineRule="exact"/>
        <w:rPr>
          <w:rFonts w:ascii="Arial" w:cs="Arial" w:eastAsia="Arial" w:hAnsi="Arial"/>
          <w:sz w:val="18"/>
          <w:szCs w:val="18"/>
          <w:color w:val="auto"/>
        </w:rPr>
      </w:pPr>
    </w:p>
    <w:p>
      <w:pPr>
        <w:jc w:val="both"/>
        <w:ind w:firstLine="656"/>
        <w:spacing w:after="0" w:line="266"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construction or application of this Agreement shall be determined by the Committee. Any determination made hereunder shall be final, binding and conclusive on the Participant and Corporation for all purposes.</w:t>
      </w:r>
    </w:p>
    <w:p>
      <w:pPr>
        <w:sectPr>
          <w:pgSz w:w="11900" w:h="16838" w:orient="portrait"/>
          <w:cols w:equalWidth="0" w:num="1">
            <w:col w:w="11420"/>
          </w:cols>
          <w:pgMar w:left="240" w:top="877" w:right="239" w:bottom="1440" w:gutter="0" w:footer="0" w:header="0"/>
        </w:sectPr>
      </w:pPr>
    </w:p>
    <w:bookmarkStart w:id="111" w:name="page112"/>
    <w:bookmarkEnd w:id="111"/>
    <w:p>
      <w:pPr>
        <w:jc w:val="both"/>
        <w:ind w:left="-656" w:firstLine="656"/>
        <w:spacing w:after="0" w:line="253" w:lineRule="auto"/>
        <w:tabs>
          <w:tab w:leader="none" w:pos="442"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 Consent</w:t>
      </w:r>
      <w:r>
        <w:rPr>
          <w:rFonts w:ascii="Arial" w:cs="Arial" w:eastAsia="Arial" w:hAnsi="Arial"/>
          <w:sz w:val="18"/>
          <w:szCs w:val="18"/>
          <w:color w:val="auto"/>
        </w:rPr>
        <w:t>. As a condition of the grant of the Performance Units, the Participant hereby consents to the collection, use</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transfer of personal data as described in this paragraph. The Participant understands that the Corporation and its subsidiaries hold certain personal information about the Participant, including name, home address and telephone number, date of birth, social security number, salary, nationality, job title, ownership interests or directorships held in the Corporation or its subsidiaries, and details of all restricted units or other equity awards or other entitlements to shares of common stock awarded, cancelled, exercised, vested or unvested (“</w:t>
      </w:r>
      <w:r>
        <w:rPr>
          <w:rFonts w:ascii="Arial" w:cs="Arial" w:eastAsia="Arial" w:hAnsi="Arial"/>
          <w:sz w:val="18"/>
          <w:szCs w:val="18"/>
          <w:u w:val="single" w:color="auto"/>
          <w:color w:val="auto"/>
        </w:rPr>
        <w:t>Data</w:t>
      </w:r>
      <w:r>
        <w:rPr>
          <w:rFonts w:ascii="Arial" w:cs="Arial" w:eastAsia="Arial" w:hAnsi="Arial"/>
          <w:sz w:val="18"/>
          <w:szCs w:val="18"/>
          <w:color w:val="auto"/>
        </w:rPr>
        <w:t>”). The Participant further understands that the Corporation and its subsidiaries will transfer Data among themselves as necessary for the purposes of implementation, administration and management of the Participant’s participation in the Plan, and that the Corporation and any of its subsidiaries may each further transfer Data to any third parties assisting the Corporation in the implementation, administration and management of the Plan. The Participant understands that these recipients may be located in the European Economic Area or elsewhere, such as the United States. The Participant hereby authorizes them to receive, possess, use, retain and transfer such Data as may be required for the administration of the Plan or the subsequent holding of shares of common stock on the Participant’s behalf, in electronic or other form, for the purposes of implementing, administering and managing the Participant’s participation in the Plan, including any requisite transfer to a broker or other third party with whom the Participant may elect to deposit any shares of common stock acquired under the Plan. The Participant may, at any time, view such Data or require any necessary amendments to it.</w:t>
      </w:r>
    </w:p>
    <w:p>
      <w:pPr>
        <w:spacing w:after="0" w:line="186" w:lineRule="exact"/>
        <w:rPr>
          <w:rFonts w:ascii="Arial" w:cs="Arial" w:eastAsia="Arial" w:hAnsi="Arial"/>
          <w:sz w:val="18"/>
          <w:szCs w:val="18"/>
          <w:color w:val="auto"/>
        </w:rPr>
      </w:pPr>
    </w:p>
    <w:p>
      <w:pPr>
        <w:jc w:val="both"/>
        <w:ind w:left="-656" w:firstLine="656"/>
        <w:spacing w:after="0" w:line="253" w:lineRule="auto"/>
        <w:tabs>
          <w:tab w:leader="none" w:pos="456"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 on Rights; No Right to Future Grants; Extraordinary Item of Compensation</w:t>
      </w:r>
      <w:r>
        <w:rPr>
          <w:rFonts w:ascii="Arial" w:cs="Arial" w:eastAsia="Arial" w:hAnsi="Arial"/>
          <w:sz w:val="18"/>
          <w:szCs w:val="18"/>
          <w:color w:val="auto"/>
        </w:rPr>
        <w:t>. By accepting this Agreement and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Performance Units contemplated hereunder, the Participant expressly acknowledges that (a) the Plan is discretionary in nature and may be suspended or terminated by the Corporation at any time; (b) the grant of Performance Units is a one-time benefit that does not create any contractual or other right to receive future grants of Performance Units, or benefits in lieu of Performance Units; (c) all determinations with respect to future grants of Performance Units, if any, including the grant date, the number of shares of Stock granted and the restricted period, will be at the sole discretion of the Corporation; (d) the Participant’s participation in the Plan is voluntary; (e) the value of the Performance Units is an extraordinary item of compensation that is outside the scope of the Participant’s employment contract, if any, and nothing can or must automatically be inferred from such employment contract or its consequences; (f) grants of Performance Units are not part of normal or expected compensation for any purpose and are not to be used for calculating any severance, resignation, redundancy, end of service payments, bonuses, long-service awards, pension or retirement benefits or similar payments, and the Participant waives any claim on such basis; and (g) the future value of the Stock is unknown and cannot be predicted with certainty. In addition, except for the rights and benefits expressly provided herein, the Participant understands, acknowledges and agrees that the Participant will have no rights to compensation or damages related to the Performance Units in consequence of the termination of the Participant’s employment for any reason whatsoever and whether or not in breach of contract.</w:t>
      </w:r>
    </w:p>
    <w:p>
      <w:pPr>
        <w:spacing w:after="0" w:line="186" w:lineRule="exact"/>
        <w:rPr>
          <w:rFonts w:ascii="Arial" w:cs="Arial" w:eastAsia="Arial" w:hAnsi="Arial"/>
          <w:sz w:val="18"/>
          <w:szCs w:val="18"/>
          <w:color w:val="auto"/>
        </w:rPr>
      </w:pPr>
    </w:p>
    <w:p>
      <w:pPr>
        <w:jc w:val="both"/>
        <w:ind w:left="-656" w:firstLine="656"/>
        <w:spacing w:after="0" w:line="261" w:lineRule="auto"/>
        <w:tabs>
          <w:tab w:leader="none" w:pos="496"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 Administrator</w:t>
      </w:r>
      <w:r>
        <w:rPr>
          <w:rFonts w:ascii="Arial" w:cs="Arial" w:eastAsia="Arial" w:hAnsi="Arial"/>
          <w:sz w:val="18"/>
          <w:szCs w:val="18"/>
          <w:color w:val="auto"/>
        </w:rPr>
        <w:t>. The Corporation may from time to time to designate a third party (an “</w:t>
      </w:r>
      <w:r>
        <w:rPr>
          <w:rFonts w:ascii="Arial" w:cs="Arial" w:eastAsia="Arial" w:hAnsi="Arial"/>
          <w:sz w:val="18"/>
          <w:szCs w:val="18"/>
          <w:u w:val="single" w:color="auto"/>
          <w:color w:val="auto"/>
        </w:rPr>
        <w:t>Award Administrator</w:t>
      </w:r>
      <w:r>
        <w:rPr>
          <w:rFonts w:ascii="Arial" w:cs="Arial" w:eastAsia="Arial" w:hAnsi="Arial"/>
          <w:sz w:val="18"/>
          <w:szCs w:val="18"/>
          <w:color w:val="auto"/>
        </w:rPr>
        <w:t>”) to assist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in the implementation, administration and management of the Plan and any Performance Units granted thereunder, including by sending Award Letters on behalf of the Corporation to Participants, and by facilitating through electronic means acceptance of Performance Share Agreements by Participants.</w:t>
      </w:r>
    </w:p>
    <w:p>
      <w:pPr>
        <w:spacing w:after="0" w:line="180" w:lineRule="exact"/>
        <w:rPr>
          <w:rFonts w:ascii="Arial" w:cs="Arial" w:eastAsia="Arial" w:hAnsi="Arial"/>
          <w:sz w:val="18"/>
          <w:szCs w:val="18"/>
          <w:color w:val="auto"/>
        </w:rPr>
      </w:pPr>
    </w:p>
    <w:p>
      <w:pPr>
        <w:jc w:val="both"/>
        <w:ind w:left="-656" w:firstLine="656"/>
        <w:spacing w:after="0" w:line="258" w:lineRule="auto"/>
        <w:tabs>
          <w:tab w:leader="none" w:pos="469"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Acceptance</w:t>
      </w:r>
      <w:r>
        <w:rPr>
          <w:rFonts w:ascii="Arial" w:cs="Arial" w:eastAsia="Arial" w:hAnsi="Arial"/>
          <w:sz w:val="18"/>
          <w:szCs w:val="18"/>
          <w:color w:val="auto"/>
        </w:rPr>
        <w:t>. This Agreement shall not be enforceable until it has been executed by the Participant. In the event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designated an Award Administrator, the acceptance (including through electronic means) of the Performance Units Award contemplated by this Agreement in accordance with the procedures established from time to time by the Award Administrator shall be deemed to constitute the Participant’s acknowledgment and agreement to the terms and conditions of this Agreement and shall have the same legal effect in all respects of the Participant having executed this Agreement by hand.</w:t>
      </w:r>
    </w:p>
    <w:p>
      <w:pPr>
        <w:sectPr>
          <w:pgSz w:w="11900" w:h="16838" w:orient="portrait"/>
          <w:cols w:equalWidth="0" w:num="1">
            <w:col w:w="10764"/>
          </w:cols>
          <w:pgMar w:left="896" w:top="877" w:right="2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7"/>
          <w:szCs w:val="17"/>
          <w:i w:val="1"/>
          <w:iCs w:val="1"/>
          <w:color w:val="auto"/>
        </w:rPr>
        <w:t>[signature page to follow]</w:t>
      </w:r>
    </w:p>
    <w:p>
      <w:pPr>
        <w:sectPr>
          <w:pgSz w:w="11900" w:h="16838" w:orient="portrait"/>
          <w:cols w:equalWidth="0" w:num="1">
            <w:col w:w="9019"/>
          </w:cols>
          <w:pgMar w:left="1440" w:top="1093" w:right="1440" w:bottom="1440" w:gutter="0" w:footer="0" w:header="0"/>
        </w:sectPr>
      </w:pPr>
    </w:p>
    <w:bookmarkStart w:id="113" w:name="page114"/>
    <w:bookmarkEnd w:id="113"/>
    <w:p>
      <w:pPr>
        <w:ind w:left="3240"/>
        <w:spacing w:after="0"/>
        <w:tabs>
          <w:tab w:leader="none" w:pos="3680" w:val="left"/>
        </w:tabs>
        <w:rPr>
          <w:sz w:val="20"/>
          <w:szCs w:val="20"/>
          <w:color w:val="auto"/>
        </w:rPr>
      </w:pPr>
      <w:r>
        <w:rPr>
          <w:rFonts w:ascii="Arial" w:cs="Arial" w:eastAsia="Arial" w:hAnsi="Arial"/>
          <w:sz w:val="18"/>
          <w:szCs w:val="18"/>
          <w:color w:val="auto"/>
        </w:rPr>
        <w:t>By:</w:t>
        <w:tab/>
        <w:t>ENGILITY HOLDINGS, INC.</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Wayne M. Rehberger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41" w:lineRule="exact"/>
        <w:rPr>
          <w:sz w:val="20"/>
          <w:szCs w:val="20"/>
          <w:color w:val="auto"/>
        </w:rPr>
      </w:pPr>
    </w:p>
    <w:p>
      <w:pPr>
        <w:jc w:val="right"/>
        <w:ind w:right="50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5040"/>
        <w:spacing w:after="0"/>
        <w:rPr>
          <w:sz w:val="20"/>
          <w:szCs w:val="20"/>
          <w:color w:val="auto"/>
        </w:rPr>
      </w:pPr>
      <w:r>
        <w:rPr>
          <w:rFonts w:ascii="Arial" w:cs="Arial" w:eastAsia="Arial" w:hAnsi="Arial"/>
          <w:sz w:val="18"/>
          <w:szCs w:val="18"/>
          <w:color w:val="auto"/>
        </w:rPr>
        <w:t>Thomas O. Miiller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1320"/>
        <w:spacing w:after="0" w:line="287" w:lineRule="auto"/>
        <w:rPr>
          <w:sz w:val="20"/>
          <w:szCs w:val="20"/>
          <w:color w:val="auto"/>
        </w:rPr>
      </w:pPr>
      <w:r>
        <w:rPr>
          <w:rFonts w:ascii="Arial" w:cs="Arial" w:eastAsia="Arial" w:hAnsi="Arial"/>
          <w:sz w:val="18"/>
          <w:szCs w:val="18"/>
          <w:b w:val="1"/>
          <w:bCs w:val="1"/>
          <w:i w:val="1"/>
          <w:iCs w:val="1"/>
          <w:color w:val="auto"/>
        </w:rPr>
        <w:t>[Signature page to Engility Holdings, Inc. 2012 Second Amended and Restated Long Term Performance Plan Performance Unit Award Agreement]</w:t>
      </w:r>
    </w:p>
    <w:p>
      <w:pPr>
        <w:sectPr>
          <w:pgSz w:w="11900" w:h="16838" w:orient="portrait"/>
          <w:cols w:equalWidth="0" w:num="1">
            <w:col w:w="10340"/>
          </w:cols>
          <w:pgMar w:left="240" w:top="1111" w:right="1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10.22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ENGILITY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2012 LONG TERM PERFORMANCE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year staged vesting)</w:t>
      </w:r>
    </w:p>
    <w:p>
      <w:pPr>
        <w:spacing w:after="0" w:line="200" w:lineRule="exact"/>
        <w:rPr>
          <w:sz w:val="20"/>
          <w:szCs w:val="20"/>
          <w:color w:val="auto"/>
        </w:rPr>
      </w:pPr>
    </w:p>
    <w:p>
      <w:pPr>
        <w:spacing w:after="0" w:line="241" w:lineRule="exact"/>
        <w:rPr>
          <w:sz w:val="20"/>
          <w:szCs w:val="20"/>
          <w:color w:val="auto"/>
        </w:rPr>
      </w:pPr>
    </w:p>
    <w:p>
      <w:pPr>
        <w:ind w:right="720" w:firstLine="648"/>
        <w:spacing w:after="0" w:line="262" w:lineRule="auto"/>
        <w:rPr>
          <w:sz w:val="20"/>
          <w:szCs w:val="20"/>
          <w:color w:val="auto"/>
        </w:rPr>
      </w:pPr>
      <w:r>
        <w:rPr>
          <w:rFonts w:ascii="Arial" w:cs="Arial" w:eastAsia="Arial" w:hAnsi="Arial"/>
          <w:sz w:val="18"/>
          <w:szCs w:val="18"/>
          <w:color w:val="auto"/>
        </w:rPr>
        <w:t>This Restricted Stock Unit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as of the Grant Date (as defined below), is between Engility Holdings,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the Participant (as defined below).</w:t>
      </w:r>
    </w:p>
    <w:p>
      <w:pPr>
        <w:spacing w:after="0" w:line="196" w:lineRule="exact"/>
        <w:rPr>
          <w:sz w:val="20"/>
          <w:szCs w:val="20"/>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for purposes of this Agreement:</w:t>
      </w:r>
    </w:p>
    <w:p>
      <w:pPr>
        <w:spacing w:after="0" w:line="225" w:lineRule="exact"/>
        <w:rPr>
          <w:rFonts w:ascii="Arial" w:cs="Arial" w:eastAsia="Arial" w:hAnsi="Arial"/>
          <w:sz w:val="18"/>
          <w:szCs w:val="18"/>
          <w:color w:val="auto"/>
        </w:rPr>
      </w:pPr>
    </w:p>
    <w:p>
      <w:pPr>
        <w:ind w:right="40" w:firstLine="1305"/>
        <w:spacing w:after="0" w:line="250" w:lineRule="auto"/>
        <w:tabs>
          <w:tab w:leader="none" w:pos="1717" w:val="left"/>
        </w:tabs>
        <w:numPr>
          <w:ilvl w:val="1"/>
          <w:numId w:val="65"/>
        </w:numPr>
        <w:rPr>
          <w:rFonts w:ascii="Arial" w:cs="Arial" w:eastAsia="Arial" w:hAnsi="Arial"/>
          <w:sz w:val="18"/>
          <w:szCs w:val="18"/>
          <w:color w:val="auto"/>
        </w:rPr>
      </w:pPr>
      <w:r>
        <w:rPr>
          <w:rFonts w:ascii="Arial" w:cs="Arial" w:eastAsia="Arial" w:hAnsi="Arial"/>
          <w:sz w:val="18"/>
          <w:szCs w:val="18"/>
          <w:color w:val="auto"/>
        </w:rPr>
        <w:t>“Cause” means the Participant’s: (i) intentional failure to perform reasonably assigned duties, which failure the Participant does not cure within fifteen days of the Corporation providing written notice of such failure; (ii) personal dishonesty or willful misconduct in the performance of duties; (iii) breach of fiduciary duties to the Corporation involving personal profit; (iv) willful violation of any law, rule or regulation in connection with the performance of duties (other than traffic violations or similar offenses); or (v) any act by a Participant involving fraud, any breach by Participant of applicable regulations of competent authorities in relation to trading or dealing with stocks, securities, investments and the like or any willful or grossly negligent act by the Participant resulting in an investigation by the Securities and Exchange Commission, which, in the case of this subdivision (v), the Board reasonably determines materially adversely affects the Corporation or the Participant’s ability to perform his or her duties to the Corporation. For purposes of this definition, an act, or failure to act, on Participant’s part shall be deemed “willful” if done, or omitted to be done, by the Participant in bad faith and without reasonable belief that the action or omission was in the best interest of the Corporation. For purposes of this definition, “Corporation” includes any applicable Subsidiary, Successor and any Subsidiary of a Successor.</w:t>
      </w:r>
    </w:p>
    <w:p>
      <w:pPr>
        <w:spacing w:after="0" w:line="5" w:lineRule="exact"/>
        <w:rPr>
          <w:rFonts w:ascii="Arial" w:cs="Arial" w:eastAsia="Arial" w:hAnsi="Arial"/>
          <w:sz w:val="18"/>
          <w:szCs w:val="18"/>
          <w:color w:val="auto"/>
        </w:rPr>
      </w:pPr>
    </w:p>
    <w:p>
      <w:pPr>
        <w:ind w:left="1720" w:hanging="415"/>
        <w:spacing w:after="0"/>
        <w:tabs>
          <w:tab w:leader="none" w:pos="17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9" w:lineRule="exact"/>
        <w:rPr>
          <w:rFonts w:ascii="Arial" w:cs="Arial" w:eastAsia="Arial" w:hAnsi="Arial"/>
          <w:sz w:val="18"/>
          <w:szCs w:val="18"/>
          <w:color w:val="auto"/>
        </w:rPr>
      </w:pPr>
    </w:p>
    <w:p>
      <w:pPr>
        <w:ind w:right="20" w:firstLine="1305"/>
        <w:spacing w:after="0" w:line="250" w:lineRule="auto"/>
        <w:tabs>
          <w:tab w:leader="none" w:pos="1706"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“Good Reason” means any of the following actions, without the Participant’s express prior written approval: (i) any material reduction in base salary, annual cash incentive opportunity or long-term incentive opportunity, (ii) subject to the terms and conditions of the applicable plan(s), any failure by the Corporation to continue to provide employee benefits to the Participant that are substantially similar in the aggregate to those afforded to persons of comparable title and position of the Corporation or applicable Subsidiary (for this purpose employee benefits shall mean retirement, fringe and welfare benefits); (iii) any material adverse change in the Participant’s duties or responsibilities; (iv) any relocation of the Participant’s principal place of business of 50 miles or more,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relocation also increases the Participant’s commute by at least 25 miles; or (v) any failure to pay amounts earned by the Participant within ten (10) days after the date such compensation is due. For purposes of this definition, “Corporation” includes any applicable Subsidiary, Successor and any Subsidiary of a Successor.</w:t>
      </w:r>
    </w:p>
    <w:p>
      <w:pPr>
        <w:spacing w:after="0" w:line="4" w:lineRule="exact"/>
        <w:rPr>
          <w:rFonts w:ascii="Arial" w:cs="Arial" w:eastAsia="Arial" w:hAnsi="Arial"/>
          <w:sz w:val="18"/>
          <w:szCs w:val="18"/>
          <w:color w:val="auto"/>
        </w:rPr>
      </w:pPr>
    </w:p>
    <w:p>
      <w:pPr>
        <w:ind w:left="1720" w:hanging="415"/>
        <w:spacing w:after="0"/>
        <w:tabs>
          <w:tab w:leader="none" w:pos="17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“Grant Date” shall mean [MM/DD/YY].</w:t>
      </w:r>
    </w:p>
    <w:p>
      <w:pPr>
        <w:spacing w:after="0" w:line="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“Participant” shall mean [EMPLOYEE NAME].</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Units” shall mean [# OF RSUs] restricted stock units.</w:t>
      </w:r>
    </w:p>
    <w:p>
      <w:pPr>
        <w:spacing w:after="0" w:line="9" w:lineRule="exact"/>
        <w:rPr>
          <w:rFonts w:ascii="Arial" w:cs="Arial" w:eastAsia="Arial" w:hAnsi="Arial"/>
          <w:sz w:val="18"/>
          <w:szCs w:val="18"/>
          <w:color w:val="auto"/>
        </w:rPr>
      </w:pPr>
    </w:p>
    <w:p>
      <w:pPr>
        <w:ind w:left="1720" w:hanging="415"/>
        <w:spacing w:after="0"/>
        <w:tabs>
          <w:tab w:leader="none" w:pos="17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“Section 409A Change in Control Event” shall mean a change in ownership or effective control of the Corporation, or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ownership of a substantial portion of the assets of the Corporation, within the meaning of Section 409A(a)(2)(A)(v) of the Code.</w:t>
      </w:r>
    </w:p>
    <w:p>
      <w:pPr>
        <w:spacing w:after="0" w:line="9" w:lineRule="exact"/>
        <w:rPr>
          <w:sz w:val="20"/>
          <w:szCs w:val="20"/>
          <w:color w:val="auto"/>
        </w:rPr>
      </w:pPr>
    </w:p>
    <w:p>
      <w:pPr>
        <w:ind w:right="180" w:firstLine="656"/>
        <w:spacing w:after="0" w:line="250" w:lineRule="auto"/>
        <w:tabs>
          <w:tab w:leader="none" w:pos="10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“Shares” shall mean a number of shares of the Corporation’s Common Stock, par value $0.01 per share, equal to the number of Restricted Units.</w:t>
      </w:r>
    </w:p>
    <w:p>
      <w:pPr>
        <w:jc w:val="both"/>
        <w:ind w:right="140" w:firstLine="1305"/>
        <w:spacing w:after="0" w:line="256" w:lineRule="auto"/>
        <w:tabs>
          <w:tab w:leader="none" w:pos="1656"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“Successor” means the entity surviving a Change in Control (as defined in the Plan) transaction involving the Corporation or Engility Corporation, and includes any entity of which such survivor is a Subsidiary and any entity that acquires all or substantially all of the assets of the Corporation.</w:t>
      </w:r>
    </w:p>
    <w:p>
      <w:pPr>
        <w:sectPr>
          <w:pgSz w:w="11900" w:h="16838" w:orient="portrait"/>
          <w:cols w:equalWidth="0" w:num="1">
            <w:col w:w="11420"/>
          </w:cols>
          <w:pgMar w:left="240" w:top="140" w:right="239" w:bottom="1440" w:gutter="0" w:footer="0" w:header="0"/>
        </w:sectPr>
      </w:pPr>
    </w:p>
    <w:bookmarkStart w:id="115" w:name="page116"/>
    <w:bookmarkEnd w:id="115"/>
    <w:p>
      <w:pPr>
        <w:ind w:left="-656" w:right="60" w:firstLine="656"/>
        <w:spacing w:after="0" w:line="261"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of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hereby grants the Restricted Units to the Participant, each of which represents the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one Share (or cash in lieu of Share as provided in Section 13 below) upon the expiration or termination of the Restricted Period (as defined below), subject to the terms, conditions and restrictions set forth in the Engility Holdings, Inc. Second Amended and Restated 2012 Long Term Performance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this Agreement.</w:t>
      </w:r>
    </w:p>
    <w:p>
      <w:pPr>
        <w:spacing w:after="0" w:line="180" w:lineRule="exact"/>
        <w:rPr>
          <w:rFonts w:ascii="Arial" w:cs="Arial" w:eastAsia="Arial" w:hAnsi="Arial"/>
          <w:sz w:val="18"/>
          <w:szCs w:val="18"/>
          <w:color w:val="auto"/>
        </w:rPr>
      </w:pPr>
    </w:p>
    <w:p>
      <w:pPr>
        <w:ind w:left="-656" w:right="360" w:firstLine="656"/>
        <w:spacing w:after="0" w:line="266"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Restricted Unit Account</w:t>
      </w:r>
      <w:r>
        <w:rPr>
          <w:rFonts w:ascii="Arial" w:cs="Arial" w:eastAsia="Arial" w:hAnsi="Arial"/>
          <w:sz w:val="18"/>
          <w:szCs w:val="18"/>
          <w:color w:val="auto"/>
        </w:rPr>
        <w:t>. The Corporation shall cause an account (the “</w:t>
      </w:r>
      <w:r>
        <w:rPr>
          <w:rFonts w:ascii="Arial" w:cs="Arial" w:eastAsia="Arial" w:hAnsi="Arial"/>
          <w:sz w:val="18"/>
          <w:szCs w:val="18"/>
          <w:u w:val="single" w:color="auto"/>
          <w:color w:val="auto"/>
        </w:rPr>
        <w:t>Unit Account</w:t>
      </w:r>
      <w:r>
        <w:rPr>
          <w:rFonts w:ascii="Arial" w:cs="Arial" w:eastAsia="Arial" w:hAnsi="Arial"/>
          <w:sz w:val="18"/>
          <w:szCs w:val="18"/>
          <w:color w:val="auto"/>
        </w:rPr>
        <w:t>”) to be established and maintained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books of the Corporation to record the number of Restricted Units credited to the Participant under the terms of this Agreement. The Participant’s interest in the Unit Account shall be that of a general, unsecured creditor of the Corporation.</w:t>
      </w:r>
    </w:p>
    <w:p>
      <w:pPr>
        <w:spacing w:after="0" w:line="176" w:lineRule="exact"/>
        <w:rPr>
          <w:rFonts w:ascii="Arial" w:cs="Arial" w:eastAsia="Arial" w:hAnsi="Arial"/>
          <w:sz w:val="18"/>
          <w:szCs w:val="18"/>
          <w:color w:val="auto"/>
        </w:rPr>
      </w:pPr>
    </w:p>
    <w:p>
      <w:pPr>
        <w:ind w:left="-656" w:right="100" w:firstLine="656"/>
        <w:spacing w:after="0" w:line="257"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provided in paragraphs 6 and 7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(i) with respect to one-third</w:t>
      </w:r>
      <w:r>
        <w:rPr>
          <w:rFonts w:ascii="Arial" w:cs="Arial" w:eastAsia="Arial" w:hAnsi="Arial"/>
          <w:sz w:val="18"/>
          <w:szCs w:val="18"/>
          <w:i w:val="1"/>
          <w:iCs w:val="1"/>
          <w:color w:val="auto"/>
        </w:rPr>
        <w:t xml:space="preserve"> </w:t>
      </w:r>
      <w:r>
        <w:rPr>
          <w:rFonts w:ascii="Arial" w:cs="Arial" w:eastAsia="Arial" w:hAnsi="Arial"/>
          <w:sz w:val="18"/>
          <w:szCs w:val="18"/>
          <w:color w:val="auto"/>
        </w:rPr>
        <w:t>(1/3) of the Restricted Units shall mean the period beginning on the Grant Date and expiring on the first anniversary of the Grant Date, (ii) with respect to an additional one-third (1/3) of the Restricted Units shall mean the period beginning on the Grant Date and expiring on the second anniversary of the Grant Date, and (iii) with respect to the remaining one-third (1/3) of the Restricted Units shall mean the period beginning on the Grant Date and expiring on the third anniversary of the Grant Date. Upon the expiration or termination of the Restricted Period, the Restricted Units shall be settled in accordance with Section 13.</w:t>
      </w:r>
    </w:p>
    <w:p>
      <w:pPr>
        <w:spacing w:after="0" w:line="182" w:lineRule="exact"/>
        <w:rPr>
          <w:rFonts w:ascii="Arial" w:cs="Arial" w:eastAsia="Arial" w:hAnsi="Arial"/>
          <w:sz w:val="18"/>
          <w:szCs w:val="18"/>
          <w:color w:val="auto"/>
        </w:rPr>
      </w:pPr>
    </w:p>
    <w:p>
      <w:pPr>
        <w:ind w:left="-656" w:right="100" w:firstLine="656"/>
        <w:spacing w:after="0" w:line="258"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Transfer During 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Restricted Period has expired or terminated, the Restricted Units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sold, assigned, transferred, pledged, hypothecated, loaned, or otherwise disposed of, and during the Participant’s lifetime the Participant’s rights with respect to the Restricted Units shall be exercised only by such Participant or by his or her guardian or legal representative, except that the Restricted Units may be transferred by will or by the laws of descent and distribution. Any sale, assignment, transfer, pledge, hypothecation, loan or other disposition other than in accordance with this Section 5 shall be null and void.</w:t>
      </w:r>
    </w:p>
    <w:p>
      <w:pPr>
        <w:spacing w:after="0" w:line="183" w:lineRule="exact"/>
        <w:rPr>
          <w:rFonts w:ascii="Arial" w:cs="Arial" w:eastAsia="Arial" w:hAnsi="Arial"/>
          <w:sz w:val="18"/>
          <w:szCs w:val="18"/>
          <w:color w:val="auto"/>
        </w:rPr>
      </w:pPr>
    </w:p>
    <w:p>
      <w:pPr>
        <w:ind w:left="-656" w:firstLine="656"/>
        <w:spacing w:after="0" w:line="253"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Control During 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determined by the Committee, upon the occurrence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 which the Successor assumes the Award granted hereby, the Restricted Period shall not terminate and the Restricted Period and the Restricted Units shall continue to be governed hereby and settled in accordance with Section 13; provided, however, in the event the Participant’s employment with the Successor is terminated without Cause by the Successor, or for Good Reason by the Participant, following the Change in Control and prior to the expiration of the Restricted Period, the unvested Restricted Units shall immediately vest (and the Restricted Period with respect thereto shall immediately terminate) and be settled in accordance with Section 13 (subject to Section 26) upon the Participant’s termination of employment. In the event of a Section 409A Change in Control in which the Successor does not assume this Award, the Restricted Period shall automatically terminate and the Restricted Units shall thereafter be settled in accordance with Section 13. In the event of any other Change in Control in which the Successor does not assume this Award, the Restricted Period shall not be immediately affected, but shall subsequently terminate (and the Restricted Units shall thereafter be settled in accordance with Section 13) upon the earliest to occur of: (a) a Section 409A Change in Control Event, (b) the Participant’s death, (c) the six-month anniversary of the termination of the Participant’s employment with the Corporation and its subsidiaries due to “disability” (as defined in Section 7(c) hereof) or (d) its regularly scheduled termination date.</w:t>
      </w:r>
    </w:p>
    <w:p>
      <w:pPr>
        <w:spacing w:after="0" w:line="188" w:lineRule="exact"/>
        <w:rPr>
          <w:rFonts w:ascii="Arial" w:cs="Arial" w:eastAsia="Arial" w:hAnsi="Arial"/>
          <w:sz w:val="18"/>
          <w:szCs w:val="18"/>
          <w:color w:val="auto"/>
        </w:rPr>
      </w:pPr>
    </w:p>
    <w:p>
      <w:pPr>
        <w:ind w:left="344" w:hanging="344"/>
        <w:spacing w:after="0"/>
        <w:tabs>
          <w:tab w:leader="none" w:pos="344"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Employment During Restricted Period</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656" w:right="420" w:firstLine="1305"/>
        <w:spacing w:after="0" w:line="254"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that the Participant’s employment with the Corporation and its subsidiaries is terminated (other than by reason of death, “retirement” or “disability,” as defined below) prior to the expiration or termination of the Restricted Period and prior to the occurrence of a Change in Control, the Participant shall forfeit the Restricted Units and all of the Participant’s rights hereunder shall cease (unless otherwise provided for by the Committee in accordance with the Plan). The Participant’s</w:t>
      </w:r>
    </w:p>
    <w:p>
      <w:pPr>
        <w:sectPr>
          <w:pgSz w:w="11900" w:h="16838" w:orient="portrait"/>
          <w:cols w:equalWidth="0" w:num="1">
            <w:col w:w="10724"/>
          </w:cols>
          <w:pgMar w:left="896" w:top="1093" w:right="279" w:bottom="1440" w:gutter="0" w:footer="0" w:header="0"/>
        </w:sectPr>
      </w:pPr>
    </w:p>
    <w:bookmarkStart w:id="116" w:name="page117"/>
    <w:bookmarkEnd w:id="116"/>
    <w:p>
      <w:pPr>
        <w:ind w:right="580"/>
        <w:spacing w:after="0" w:line="262" w:lineRule="auto"/>
        <w:rPr>
          <w:sz w:val="20"/>
          <w:szCs w:val="20"/>
          <w:color w:val="auto"/>
        </w:rPr>
      </w:pPr>
      <w:r>
        <w:rPr>
          <w:rFonts w:ascii="Arial" w:cs="Arial" w:eastAsia="Arial" w:hAnsi="Arial"/>
          <w:sz w:val="18"/>
          <w:szCs w:val="18"/>
          <w:color w:val="auto"/>
        </w:rPr>
        <w:t>rights to the Restricted Units shall not be affected by any change in the nature of the Participant’s employment so long as the Participant continues to be an employee of the Corporation or any of its subsidiaries.</w:t>
      </w:r>
    </w:p>
    <w:p>
      <w:pPr>
        <w:spacing w:after="0" w:line="196" w:lineRule="exact"/>
        <w:rPr>
          <w:sz w:val="20"/>
          <w:szCs w:val="20"/>
          <w:color w:val="auto"/>
        </w:rPr>
      </w:pPr>
    </w:p>
    <w:p>
      <w:pPr>
        <w:ind w:right="20" w:firstLine="1305"/>
        <w:spacing w:after="0" w:line="251" w:lineRule="auto"/>
        <w:tabs>
          <w:tab w:leader="none" w:pos="17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the Participant terminates employment with the Corporation and its subsidiaries because of “retirement” prior to the expiration or termination of the Restricted Period, the provisions of Section 7(a) shall not apply, the Restricted Period shall not be affected and shall expire with the passage of time in accordance with paragraph 4, except that (i) in the event that the Participant dies following retirement but prior to the expiration of the Restricted Period, the Restricted Period shall immediately terminate and the Restricted Units shall thereafter be settled with the Participant’s transferee(s) in accordance with Sections 5 and 13, (ii) in the event of a Section 409A Change in Control Event following a “retirement”, the Restricted Period shall immediately terminate and the Restricted Units shall be settled in accordance with Section 13 upon the Section 409A Change in Control Event, and (iii) in the event of any other Change in Control, the Restricted Period shall not be immediately affected, but shall subsequently terminate (and the Restricted Units shall thereafter be settled in accordance with Section 13) upon the earliest to occur of: (A) a Section 409A Change in Control Event, (B) the Participant’s death, or (C) its regularly scheduled termination date.</w:t>
      </w:r>
    </w:p>
    <w:p>
      <w:pPr>
        <w:spacing w:after="0" w:line="212" w:lineRule="exact"/>
        <w:rPr>
          <w:rFonts w:ascii="Arial" w:cs="Arial" w:eastAsia="Arial" w:hAnsi="Arial"/>
          <w:sz w:val="18"/>
          <w:szCs w:val="18"/>
          <w:color w:val="auto"/>
        </w:rPr>
      </w:pPr>
    </w:p>
    <w:p>
      <w:pPr>
        <w:ind w:firstLine="1953"/>
        <w:spacing w:after="0" w:line="252" w:lineRule="auto"/>
        <w:tabs>
          <w:tab w:leader="none" w:pos="2305"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this Agreement, “retirement” means the Participant (A) terminates employment with the Corporation and its subsidiaries other than for Cause (and is not subject to termination for Cause at the time of such termination) after February 23, 2018, (B) is available for consultation with the Corporation or any of its subsidiaries at the reasonable request of the Corporation or one of its subsidiaries and (C) terminates employment on or after attaining age 65 and completing at least five years of service in the aggregate with the Corporation and its subsidiaries (which service must be continuous through the date of termination except for a single break in service that does not exceed one year in length).</w:t>
      </w:r>
    </w:p>
    <w:p>
      <w:pPr>
        <w:spacing w:after="0" w:line="208" w:lineRule="exact"/>
        <w:rPr>
          <w:rFonts w:ascii="Arial" w:cs="Arial" w:eastAsia="Arial" w:hAnsi="Arial"/>
          <w:sz w:val="18"/>
          <w:szCs w:val="18"/>
          <w:color w:val="auto"/>
        </w:rPr>
      </w:pPr>
    </w:p>
    <w:p>
      <w:pPr>
        <w:ind w:right="80" w:firstLine="1953"/>
        <w:spacing w:after="0" w:line="252" w:lineRule="auto"/>
        <w:tabs>
          <w:tab w:leader="none" w:pos="2345"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the foregoing, the Participant shall forfeit all rights to the unsettled Restricted Units if following retirement and during the Restricted Period applicable to such unsettled Restricted Units the Participant (A) directly or indirectly, either as principal, manager, agent, consultant, officer, stockholder, partner, investor, lender or employee or in any other capacity, carries on, is engaged in or has any financial interest in, any (i) entity which is in Competition with the business of the Corporation or its Affiliates or (ii) Competitive Activity or (B) on his or her own behalf or on behalf of any person, firm or company, directly or indirectly, solicits or offers employment to any person who is or has been employed by the Corporation or its Affiliates at any time during the twelve (12) months immediately preceding such solicitation.</w:t>
      </w:r>
    </w:p>
    <w:p>
      <w:pPr>
        <w:spacing w:after="0" w:line="207" w:lineRule="exact"/>
        <w:rPr>
          <w:rFonts w:ascii="Arial" w:cs="Arial" w:eastAsia="Arial" w:hAnsi="Arial"/>
          <w:sz w:val="18"/>
          <w:szCs w:val="18"/>
          <w:color w:val="auto"/>
        </w:rPr>
      </w:pPr>
    </w:p>
    <w:p>
      <w:pPr>
        <w:ind w:right="400" w:firstLine="2601"/>
        <w:spacing w:after="0" w:line="254" w:lineRule="auto"/>
        <w:tabs>
          <w:tab w:leader="none" w:pos="3033"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 entity shall be deemed to be in “Competition” with the Corporation or its Affiliates if it is principally involved in the purchase, sale or other dealing in any property or the rendering of any service purchased, sold, dealt in or rendered by the Corporation or its Affiliates as a part of the business of the Corporation or its Affiliates within the same geographic area in which the Corporation effects such sales or dealings or renders such services at the Relevant Date;</w:t>
      </w:r>
    </w:p>
    <w:p>
      <w:pPr>
        <w:spacing w:after="0" w:line="204" w:lineRule="exact"/>
        <w:rPr>
          <w:rFonts w:ascii="Arial" w:cs="Arial" w:eastAsia="Arial" w:hAnsi="Arial"/>
          <w:sz w:val="18"/>
          <w:szCs w:val="18"/>
          <w:color w:val="auto"/>
        </w:rPr>
      </w:pPr>
    </w:p>
    <w:p>
      <w:pPr>
        <w:ind w:right="120" w:firstLine="2601"/>
        <w:spacing w:after="0" w:line="256" w:lineRule="auto"/>
        <w:tabs>
          <w:tab w:leader="none" w:pos="3083" w:val="left"/>
        </w:tabs>
        <w:numPr>
          <w:ilvl w:val="2"/>
          <w:numId w:val="69"/>
        </w:numPr>
        <w:rPr>
          <w:rFonts w:ascii="Arial" w:cs="Arial" w:eastAsia="Arial" w:hAnsi="Arial"/>
          <w:sz w:val="18"/>
          <w:szCs w:val="18"/>
          <w:color w:val="auto"/>
        </w:rPr>
      </w:pPr>
      <w:r>
        <w:rPr>
          <w:rFonts w:ascii="Arial" w:cs="Arial" w:eastAsia="Arial" w:hAnsi="Arial"/>
          <w:sz w:val="18"/>
          <w:szCs w:val="18"/>
          <w:color w:val="auto"/>
        </w:rPr>
        <w:t>“Competitive Activity” shall mean any business into which the Corporation or any of its Affiliates has taken substantial steps to engage, as of the Relevant Date, which would be deemed to be in Competition with the business of the Corporation or its Affiliates if such steps had been completed prior to the Relevant Date; and</w:t>
      </w:r>
    </w:p>
    <w:p>
      <w:pPr>
        <w:spacing w:after="0" w:line="201" w:lineRule="exact"/>
        <w:rPr>
          <w:rFonts w:ascii="Arial" w:cs="Arial" w:eastAsia="Arial" w:hAnsi="Arial"/>
          <w:sz w:val="18"/>
          <w:szCs w:val="18"/>
          <w:color w:val="auto"/>
        </w:rPr>
      </w:pPr>
    </w:p>
    <w:p>
      <w:pPr>
        <w:ind w:left="3060" w:hanging="459"/>
        <w:spacing w:after="0"/>
        <w:tabs>
          <w:tab w:leader="none" w:pos="30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“Relevant Date” shall mean the effective date of the termination of the Participant’s employment with the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Corporation and its subsidiaries.</w:t>
      </w:r>
    </w:p>
    <w:p>
      <w:pPr>
        <w:spacing w:after="0" w:line="225" w:lineRule="exact"/>
        <w:rPr>
          <w:rFonts w:ascii="Arial" w:cs="Arial" w:eastAsia="Arial" w:hAnsi="Arial"/>
          <w:sz w:val="18"/>
          <w:szCs w:val="18"/>
          <w:color w:val="auto"/>
        </w:rPr>
      </w:pPr>
    </w:p>
    <w:p>
      <w:pPr>
        <w:ind w:right="60" w:firstLine="1305"/>
        <w:spacing w:after="0" w:line="256" w:lineRule="auto"/>
        <w:tabs>
          <w:tab w:leader="none" w:pos="17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Participant’s employment with the Corporation and its subsidiaries is terminated because of death, the Restricted Period shall automatically terminate and the Restricted Units shall thereafter be settled with the Participant (or to the Participant’s transferee(s) under Section 5 as the</w:t>
      </w:r>
    </w:p>
    <w:p>
      <w:pPr>
        <w:sectPr>
          <w:pgSz w:w="11900" w:h="16838" w:orient="portrait"/>
          <w:cols w:equalWidth="0" w:num="1">
            <w:col w:w="11400"/>
          </w:cols>
          <w:pgMar w:left="240" w:top="895" w:right="259" w:bottom="1440" w:gutter="0" w:footer="0" w:header="0"/>
        </w:sectPr>
      </w:pPr>
    </w:p>
    <w:bookmarkStart w:id="117" w:name="page118"/>
    <w:bookmarkEnd w:id="117"/>
    <w:p>
      <w:pPr>
        <w:ind w:right="80"/>
        <w:spacing w:after="0" w:line="252" w:lineRule="auto"/>
        <w:rPr>
          <w:sz w:val="20"/>
          <w:szCs w:val="20"/>
          <w:color w:val="auto"/>
        </w:rPr>
      </w:pPr>
      <w:r>
        <w:rPr>
          <w:rFonts w:ascii="Arial" w:cs="Arial" w:eastAsia="Arial" w:hAnsi="Arial"/>
          <w:sz w:val="18"/>
          <w:szCs w:val="18"/>
          <w:color w:val="auto"/>
        </w:rPr>
        <w:t>case may be) in accordance with Section 13. If the Participant’s employment with the Corporation and its subsidiaries is terminated because of “disability,” the provisions of Section 7(a) shall not apply, the Restricted Period shall not be immediately affected, but shall subsequently terminate (and the Shares shall thereafter be settled in accordance with Section 13) upon the earliest to occur of: (i) the six-month anniversary of the date of termination, (ii) the Participant’s death, (iii) a Section 409A Change in Control Event or (iv) its regularly scheduled termination date. For purposes of this Agreement, disability means the Participant, as a result of incapacity due to physical or mental illness, becomes eligible for benefits under the long-term disability plan or policy of the Corporation or a subsidiary in which the Participant is eligible to participate.</w:t>
      </w:r>
    </w:p>
    <w:p>
      <w:pPr>
        <w:spacing w:after="0" w:line="207" w:lineRule="exact"/>
        <w:rPr>
          <w:sz w:val="20"/>
          <w:szCs w:val="20"/>
          <w:color w:val="auto"/>
        </w:rPr>
      </w:pPr>
    </w:p>
    <w:p>
      <w:pPr>
        <w:ind w:right="60" w:firstLine="1305"/>
        <w:spacing w:after="0" w:line="253" w:lineRule="auto"/>
        <w:tabs>
          <w:tab w:leader="none" w:pos="17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Whether (and the circumstances under which) employment has been terminated and the determination of the termination date for the purposes of this Agreement shall be determined by the Committee or (with respect to any employee other than an “Executive Officer” as defined under the Plan) its designee (who, at the date of this Agreement, shall be the Corporation’s Senior Vice President and Chief Human Resources Officer), whose good faith determination shall be final, binding and conclusive;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designee may not make any such determination with respect to his or her own employment.</w:t>
      </w:r>
    </w:p>
    <w:p>
      <w:pPr>
        <w:spacing w:after="0" w:line="187" w:lineRule="exact"/>
        <w:rPr>
          <w:rFonts w:ascii="Arial" w:cs="Arial" w:eastAsia="Arial" w:hAnsi="Arial"/>
          <w:sz w:val="18"/>
          <w:szCs w:val="18"/>
          <w:color w:val="auto"/>
        </w:rPr>
      </w:pPr>
    </w:p>
    <w:p>
      <w:pPr>
        <w:ind w:firstLine="656"/>
        <w:spacing w:after="0" w:line="253" w:lineRule="auto"/>
        <w:tabs>
          <w:tab w:leader="none" w:pos="998"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If the Corporation pays a cash dividend on its common stock, the Participant shall accrue in his or her Dividend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below) a cash dividend equivalent with respect to the Restricted Units credited to the Participant’s Unit Account as of the record date for the dividend, with each Restricted Unit being equivalent to one share of common stock. The Corporation shall cause an account (the “</w:t>
      </w:r>
      <w:r>
        <w:rPr>
          <w:rFonts w:ascii="Arial" w:cs="Arial" w:eastAsia="Arial" w:hAnsi="Arial"/>
          <w:sz w:val="18"/>
          <w:szCs w:val="18"/>
          <w:u w:val="single" w:color="auto"/>
          <w:color w:val="auto"/>
        </w:rPr>
        <w:t>Dividend Account</w:t>
      </w:r>
      <w:r>
        <w:rPr>
          <w:rFonts w:ascii="Arial" w:cs="Arial" w:eastAsia="Arial" w:hAnsi="Arial"/>
          <w:sz w:val="18"/>
          <w:szCs w:val="18"/>
          <w:color w:val="auto"/>
        </w:rPr>
        <w:t>”) to be established and maintained as part of the records of the Corporation to evidence the aggregate cash dividend equivalents accrued by the Participant from time to time under this Section. No interest shall accrue on any amounts reflected in the Dividend Account. The Participant’s interest in the amounts reflected in the Dividend Account shall be that of a general, unsecured creditor of the Corporation. Subject to, and as promptly as practicable following, the settlement of the Restricted Units pursuant to Section 13 hereunder, the Corporation shall pay an amount in cash (without interest and subject to applicable withholding taxes) to the Participant (or his or her transferee(s) who receive Shares or cash pursuant to Section 13 hereunder) equal to the aggregate cash dividend equivalents accrued in the Participant’s Dividend Account and the Participant’s Dividend Account shall be eliminated at that time. In the event that the Participant forfeits his or her rights to the Restricted Units, the Participant also shall forfeit his or her rights to any cash dividend equivalents accrued in the Participant’s Dividend Account and the Participant’s Dividend Account shall be eliminated at that time.</w:t>
      </w:r>
    </w:p>
    <w:p>
      <w:pPr>
        <w:spacing w:after="0" w:line="190" w:lineRule="exact"/>
        <w:rPr>
          <w:rFonts w:ascii="Arial" w:cs="Arial" w:eastAsia="Arial" w:hAnsi="Arial"/>
          <w:sz w:val="18"/>
          <w:szCs w:val="18"/>
          <w:color w:val="auto"/>
        </w:rPr>
      </w:pPr>
    </w:p>
    <w:p>
      <w:pPr>
        <w:ind w:right="40" w:firstLine="656"/>
        <w:spacing w:after="0" w:line="261" w:lineRule="auto"/>
        <w:tabs>
          <w:tab w:leader="none" w:pos="998"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 to Continued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Nothing in this Agreement or the Plan shall be interpreted or construed to confer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any right to continue employment by the Corporation or any of its subsidiaries, nor shall this Agreement or the Plan interfere in any way with the right of the Corporation or any of its subsidiaries to terminate the Participant’s employment at any time for any reason whatsoever, whether or not with cause.</w:t>
      </w:r>
    </w:p>
    <w:p>
      <w:pPr>
        <w:spacing w:after="0" w:line="180" w:lineRule="exact"/>
        <w:rPr>
          <w:rFonts w:ascii="Arial" w:cs="Arial" w:eastAsia="Arial" w:hAnsi="Arial"/>
          <w:sz w:val="18"/>
          <w:szCs w:val="18"/>
          <w:color w:val="auto"/>
        </w:rPr>
      </w:pPr>
    </w:p>
    <w:p>
      <w:pPr>
        <w:ind w:firstLine="656"/>
        <w:spacing w:after="0" w:line="266" w:lineRule="auto"/>
        <w:tabs>
          <w:tab w:leader="none" w:pos="1098"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Rights as a Stockholder</w:t>
      </w:r>
      <w:r>
        <w:rPr>
          <w:rFonts w:ascii="Arial" w:cs="Arial" w:eastAsia="Arial" w:hAnsi="Arial"/>
          <w:sz w:val="18"/>
          <w:szCs w:val="18"/>
          <w:color w:val="auto"/>
        </w:rPr>
        <w:t>. The Participant’s interest in the Restricted Units shall not entitle the Participant to any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Corporation. The Participant shall not be deemed to be the holder of, or have any of the rights and privileges of a stockholder of the Corporation in respect of, the Shares unless and until Shares have been issued to the Participant in accordance Section 13.</w:t>
      </w:r>
    </w:p>
    <w:p>
      <w:pPr>
        <w:spacing w:after="0" w:line="176" w:lineRule="exact"/>
        <w:rPr>
          <w:rFonts w:ascii="Arial" w:cs="Arial" w:eastAsia="Arial" w:hAnsi="Arial"/>
          <w:sz w:val="18"/>
          <w:szCs w:val="18"/>
          <w:color w:val="auto"/>
        </w:rPr>
      </w:pPr>
    </w:p>
    <w:p>
      <w:pPr>
        <w:ind w:right="140" w:firstLine="656"/>
        <w:spacing w:after="0" w:line="257" w:lineRule="auto"/>
        <w:tabs>
          <w:tab w:leader="none" w:pos="1098"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 in Capitalization</w:t>
      </w:r>
      <w:r>
        <w:rPr>
          <w:rFonts w:ascii="Arial" w:cs="Arial" w:eastAsia="Arial" w:hAnsi="Arial"/>
          <w:sz w:val="18"/>
          <w:szCs w:val="18"/>
          <w:color w:val="auto"/>
        </w:rPr>
        <w:t>. In the event of any reorganization,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split, stock dividend or similar capital adjustment, as a result of which shares of any class shall be issued in respect of outstanding shares of the Corporation’s Common Stock or shares of Corporation’s Common Stock shall be changed into a different number of shares or into another class or classes or into other property or cash, the Restricted Units, the Participant’s Unit Account and/or the Shares shall be adjusted to reflect such event so as to preserve (without enlarging) the value of the award hereunder, with the manner of such adjustment to be</w:t>
      </w:r>
    </w:p>
    <w:p>
      <w:pPr>
        <w:sectPr>
          <w:pgSz w:w="11900" w:h="16838" w:orient="portrait"/>
          <w:cols w:equalWidth="0" w:num="1">
            <w:col w:w="11420"/>
          </w:cols>
          <w:pgMar w:left="240" w:top="895" w:right="239" w:bottom="1440" w:gutter="0" w:footer="0" w:header="0"/>
        </w:sectPr>
      </w:pPr>
    </w:p>
    <w:bookmarkStart w:id="118" w:name="page119"/>
    <w:bookmarkEnd w:id="118"/>
    <w:p>
      <w:pPr>
        <w:ind w:right="800"/>
        <w:spacing w:after="0" w:line="262" w:lineRule="auto"/>
        <w:rPr>
          <w:sz w:val="20"/>
          <w:szCs w:val="20"/>
          <w:color w:val="auto"/>
        </w:rPr>
      </w:pPr>
      <w:r>
        <w:rPr>
          <w:rFonts w:ascii="Arial" w:cs="Arial" w:eastAsia="Arial" w:hAnsi="Arial"/>
          <w:sz w:val="18"/>
          <w:szCs w:val="18"/>
          <w:color w:val="auto"/>
        </w:rPr>
        <w:t>determined by the Committee in its sole discretion. This paragraph shall also apply with respect to any extraordinary dividend or other extraordinary distribution in respect of the Corporation’s Common Stock (whether in the form of cash or other property).</w:t>
      </w:r>
    </w:p>
    <w:p>
      <w:pPr>
        <w:spacing w:after="0" w:line="178" w:lineRule="exact"/>
        <w:rPr>
          <w:sz w:val="20"/>
          <w:szCs w:val="20"/>
          <w:color w:val="auto"/>
        </w:rPr>
      </w:pPr>
    </w:p>
    <w:p>
      <w:pPr>
        <w:ind w:right="460" w:firstLine="656"/>
        <w:spacing w:after="0" w:line="266"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 Restrictions</w:t>
      </w:r>
      <w:r>
        <w:rPr>
          <w:rFonts w:ascii="Arial" w:cs="Arial" w:eastAsia="Arial" w:hAnsi="Arial"/>
          <w:sz w:val="18"/>
          <w:szCs w:val="18"/>
          <w:color w:val="auto"/>
        </w:rPr>
        <w:t>. Notwithstanding anything in this Agreement to the contrary, the Corporation shall have no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or transfer the Shares as contemplated by this agreement unless and until such issuance or transfer shall comply with all relevant provisions of law and the requirements of any stock exchange on which the Corporation’s shares are listed for trading.</w:t>
      </w:r>
    </w:p>
    <w:p>
      <w:pPr>
        <w:spacing w:after="0" w:line="176" w:lineRule="exact"/>
        <w:rPr>
          <w:rFonts w:ascii="Arial" w:cs="Arial" w:eastAsia="Arial" w:hAnsi="Arial"/>
          <w:sz w:val="18"/>
          <w:szCs w:val="18"/>
          <w:color w:val="auto"/>
        </w:rPr>
      </w:pPr>
    </w:p>
    <w:p>
      <w:pPr>
        <w:ind w:right="20" w:firstLine="656"/>
        <w:spacing w:after="0" w:line="253"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 of Restricted Units</w:t>
      </w:r>
      <w:r>
        <w:rPr>
          <w:rFonts w:ascii="Arial" w:cs="Arial" w:eastAsia="Arial" w:hAnsi="Arial"/>
          <w:sz w:val="18"/>
          <w:szCs w:val="18"/>
          <w:color w:val="auto"/>
        </w:rPr>
        <w:t>. The Participant shall be entitled to settlement of the Restricted Units covered by this Agreement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time that the Restricted Period ends with respect to such Restricted Units pursuant to this Agreement. Subject to Section 14, such settlement shall be made as promptly as practicable thereafter (and in any event within 75 days of the termination or expiration of the Restricted Period) through, in the sole discretion of the Committee, either (a) the issuance to the Participant (or to the executors or administrators of Participant’s estate in the event of the Participant’s death) of a stock certificate (or evidence such Shares have been registered in book entry form in the name of the Participant with the relevant stock agent) for a number of Shares equal to the number of such vested Restricted Units, or (b) a payment of cash to the Participant (or to the executors or administrators of Participant’s estate in the event of the Participant’s death) equal to the Fair Market Value of the Shares that would otherwise have been issued pursuant to (a)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termination of the Restricted Period results from a Section 409A Change in Control Event, then notwithstanding the foregoing, the Shares (or cash) shall be paid within 30 days of the Section 409A Change in Control Event. Upon the settlement of the Restricted Units, the Participant’s Unit Account shall be eliminated. Notwithstanding the provisions of this Section, if the Restricted Units have been transferred in accordance with the provisions of Section 5 prior to the settlement of the Restricted Units in accordance with this Section, then the issuance of the Shares or the payment of cash in lieu thereof shall be made to the transferee(s).</w:t>
      </w:r>
    </w:p>
    <w:p>
      <w:pPr>
        <w:spacing w:after="0" w:line="188" w:lineRule="exact"/>
        <w:rPr>
          <w:rFonts w:ascii="Arial" w:cs="Arial" w:eastAsia="Arial" w:hAnsi="Arial"/>
          <w:sz w:val="18"/>
          <w:szCs w:val="18"/>
          <w:color w:val="auto"/>
        </w:rPr>
      </w:pPr>
    </w:p>
    <w:p>
      <w:pPr>
        <w:ind w:right="20" w:firstLine="656"/>
        <w:spacing w:after="0" w:line="254"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Tax Withholding</w:t>
      </w:r>
      <w:r>
        <w:rPr>
          <w:rFonts w:ascii="Arial" w:cs="Arial" w:eastAsia="Arial" w:hAnsi="Arial"/>
          <w:sz w:val="18"/>
          <w:szCs w:val="18"/>
          <w:color w:val="auto"/>
        </w:rPr>
        <w:t>. Upon the expiration or termination of the Restricted Period, the Participant shall remit to the 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amount necessary to satisfy Federal, state, local or foreign withholding tax requirements, if any (“</w:t>
      </w:r>
      <w:r>
        <w:rPr>
          <w:rFonts w:ascii="Arial" w:cs="Arial" w:eastAsia="Arial" w:hAnsi="Arial"/>
          <w:sz w:val="18"/>
          <w:szCs w:val="18"/>
          <w:u w:val="single" w:color="auto"/>
          <w:color w:val="auto"/>
        </w:rPr>
        <w:t>Withholding Taxes</w:t>
      </w:r>
      <w:r>
        <w:rPr>
          <w:rFonts w:ascii="Arial" w:cs="Arial" w:eastAsia="Arial" w:hAnsi="Arial"/>
          <w:sz w:val="18"/>
          <w:szCs w:val="18"/>
          <w:color w:val="auto"/>
        </w:rPr>
        <w:t>”) as a condition to the Corporation’s issuance of any Shares (or payment of cash) as provided in Section 13. The payment shall be in (i) cash, (ii) the delivery of Shares, (iii) in the sole discretion of the Committee, a reduction in the number of Shares otherwise issuable or deliverable or other amounts otherwise payable to the Participant pursuant to this Agreement, or (iv) a combination of (i), (ii) and/or (iii). The value of any Shares delivered or withheld as payment in respect of withholding tax requirements shall be determined by reference to the Fair Market Value of such Shares as of the date of such withholding or delivery. In the event that Withholding Taxes are satisfied by withholding a portion of the Shares otherwise issuable or deliverable to the Participant pursuant to this Agreement, the Corporation shall not withhold any Shares in excess of the minimum number of Shares necessary to satisfy the applicable Withholding Taxes.</w:t>
      </w:r>
    </w:p>
    <w:p>
      <w:pPr>
        <w:spacing w:after="0" w:line="189" w:lineRule="exact"/>
        <w:rPr>
          <w:rFonts w:ascii="Arial" w:cs="Arial" w:eastAsia="Arial" w:hAnsi="Arial"/>
          <w:sz w:val="18"/>
          <w:szCs w:val="18"/>
          <w:color w:val="auto"/>
        </w:rPr>
      </w:pPr>
    </w:p>
    <w:p>
      <w:pPr>
        <w:ind w:firstLine="656"/>
        <w:spacing w:after="0" w:line="261"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Subsidiary</w:t>
      </w:r>
      <w:r>
        <w:rPr>
          <w:rFonts w:ascii="Arial" w:cs="Arial" w:eastAsia="Arial" w:hAnsi="Arial"/>
          <w:sz w:val="18"/>
          <w:szCs w:val="18"/>
          <w:color w:val="auto"/>
        </w:rPr>
        <w:t>. As used herein, the term “subsidiary” shall mean, as to any person, any corporation, association, partnership,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or other business entity of which 50% or more of the voting stock or other equity interests (in the case of entities other than corporations), is owned or controlled (directly or indirectly) by that entity, or by one or more of the Subsidiaries of that entity, or by a combination thereof.</w:t>
      </w:r>
    </w:p>
    <w:p>
      <w:pPr>
        <w:spacing w:after="0" w:line="180" w:lineRule="exact"/>
        <w:rPr>
          <w:rFonts w:ascii="Arial" w:cs="Arial" w:eastAsia="Arial" w:hAnsi="Arial"/>
          <w:sz w:val="18"/>
          <w:szCs w:val="18"/>
          <w:color w:val="auto"/>
        </w:rPr>
      </w:pPr>
    </w:p>
    <w:p>
      <w:pPr>
        <w:ind w:right="440" w:firstLine="656"/>
        <w:spacing w:after="0" w:line="282"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Plan Governs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hereby acknowledges receipt of a copy of the Plan and agrees to be bound by its terms,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herein by reference. The Plan shall govern in the event of any conflict between this Agreement and the Plan.</w:t>
      </w:r>
    </w:p>
    <w:p>
      <w:pPr>
        <w:spacing w:after="0" w:line="161" w:lineRule="exact"/>
        <w:rPr>
          <w:rFonts w:ascii="Arial" w:cs="Arial" w:eastAsia="Arial" w:hAnsi="Arial"/>
          <w:sz w:val="18"/>
          <w:szCs w:val="18"/>
          <w:color w:val="auto"/>
        </w:rPr>
      </w:pPr>
    </w:p>
    <w:p>
      <w:pPr>
        <w:jc w:val="both"/>
        <w:ind w:right="220" w:firstLine="656"/>
        <w:spacing w:after="0" w:line="266"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Modification of Agreement</w:t>
      </w:r>
      <w:r>
        <w:rPr>
          <w:rFonts w:ascii="Arial" w:cs="Arial" w:eastAsia="Arial" w:hAnsi="Arial"/>
          <w:sz w:val="18"/>
          <w:szCs w:val="18"/>
          <w:color w:val="auto"/>
        </w:rPr>
        <w:t>. This Agreement may be modified, amended, suspended or terminated, and any terms or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waived, but, subject to the terms and conditions of the Plan and this Agreement, only by a written instrument executed by the parties hereto.</w:t>
      </w:r>
    </w:p>
    <w:p>
      <w:pPr>
        <w:sectPr>
          <w:pgSz w:w="11900" w:h="16838" w:orient="portrait"/>
          <w:cols w:equalWidth="0" w:num="1">
            <w:col w:w="11420"/>
          </w:cols>
          <w:pgMar w:left="240" w:top="895" w:right="239" w:bottom="1440" w:gutter="0" w:footer="0" w:header="0"/>
        </w:sectPr>
      </w:pPr>
    </w:p>
    <w:bookmarkStart w:id="119" w:name="page120"/>
    <w:bookmarkEnd w:id="119"/>
    <w:p>
      <w:pPr>
        <w:ind w:left="-656" w:firstLine="656"/>
        <w:spacing w:after="0" w:line="266"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Severability</w:t>
      </w:r>
      <w:r>
        <w:rPr>
          <w:rFonts w:ascii="Arial" w:cs="Arial" w:eastAsia="Arial" w:hAnsi="Arial"/>
          <w:sz w:val="18"/>
          <w:szCs w:val="18"/>
          <w:color w:val="auto"/>
        </w:rPr>
        <w:t>. Should any provision of this Agreement be held by a court of competent jurisdiction to be unenforceable or invalid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 the remaining provisions of this Agreement shall not be affected by such holding and shall continue in full force in accordance with their terms.</w:t>
      </w:r>
    </w:p>
    <w:p>
      <w:pPr>
        <w:spacing w:after="0" w:line="176" w:lineRule="exact"/>
        <w:rPr>
          <w:rFonts w:ascii="Arial" w:cs="Arial" w:eastAsia="Arial" w:hAnsi="Arial"/>
          <w:sz w:val="18"/>
          <w:szCs w:val="18"/>
          <w:color w:val="auto"/>
        </w:rPr>
      </w:pPr>
    </w:p>
    <w:p>
      <w:pPr>
        <w:jc w:val="both"/>
        <w:ind w:left="-656" w:right="40" w:firstLine="656"/>
        <w:spacing w:after="0" w:line="261"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without giving effect to the conflicts of laws principles thereof. If the Participant has received a copy of this Agreement (or the Plan or any other document related hereto or thereto) translated into a language other than English, such translated copy is qualified in its entirety by reference to the English version thereof, and in the event of any conflict the English version will govern.</w:t>
      </w:r>
    </w:p>
    <w:p>
      <w:pPr>
        <w:spacing w:after="0" w:line="180" w:lineRule="exact"/>
        <w:rPr>
          <w:rFonts w:ascii="Arial" w:cs="Arial" w:eastAsia="Arial" w:hAnsi="Arial"/>
          <w:sz w:val="18"/>
          <w:szCs w:val="18"/>
          <w:color w:val="auto"/>
        </w:rPr>
      </w:pPr>
    </w:p>
    <w:p>
      <w:pPr>
        <w:ind w:left="-656" w:firstLine="656"/>
        <w:spacing w:after="0" w:line="261"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Successors in Interest</w:t>
      </w:r>
      <w:r>
        <w:rPr>
          <w:rFonts w:ascii="Arial" w:cs="Arial" w:eastAsia="Arial" w:hAnsi="Arial"/>
          <w:sz w:val="18"/>
          <w:szCs w:val="18"/>
          <w:color w:val="auto"/>
        </w:rPr>
        <w:t>. This Agreement shall inure to the benefit of and be binding upon any successor to the Corporation.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inure to the benefit of the Participant or the Participant’s legal representatives. All obligations imposed upon the Participant and all rights granted to the Corporation under this Agreement shall be final, binding and conclusive upon the Participant’s heirs, executors, administrators and successors.</w:t>
      </w:r>
    </w:p>
    <w:p>
      <w:pPr>
        <w:spacing w:after="0" w:line="180" w:lineRule="exact"/>
        <w:rPr>
          <w:rFonts w:ascii="Arial" w:cs="Arial" w:eastAsia="Arial" w:hAnsi="Arial"/>
          <w:sz w:val="18"/>
          <w:szCs w:val="18"/>
          <w:color w:val="auto"/>
        </w:rPr>
      </w:pPr>
    </w:p>
    <w:p>
      <w:pPr>
        <w:ind w:left="-656" w:right="40" w:firstLine="656"/>
        <w:spacing w:after="0" w:line="257"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w:t>
      </w:r>
      <w:r>
        <w:rPr>
          <w:rFonts w:ascii="Arial" w:cs="Arial" w:eastAsia="Arial" w:hAnsi="Arial"/>
          <w:sz w:val="18"/>
          <w:szCs w:val="18"/>
          <w:color w:val="auto"/>
        </w:rPr>
        <w:t>. The Committee shall have the power to interpret the Plan and this Agreement and to adopt such rules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interpretation and application of the Plan as are consistent therewith and to interpret or revoke any such rules. All actions taken and all interpretations and determinations made by the Committee shall be final and binding upon the Participant, the Corporation and all other interested persons. No member of the Committee shall be personally liable for any action determination or interpretation made in good faith with respect to the Plan or the Restricted Units. In its absolute discretion, the Board of Directors may at any time and from time to time exercise any and all rights and duties of the Committee under the Plan and this Agreement.</w:t>
      </w:r>
    </w:p>
    <w:p>
      <w:pPr>
        <w:spacing w:after="0" w:line="182" w:lineRule="exact"/>
        <w:rPr>
          <w:rFonts w:ascii="Arial" w:cs="Arial" w:eastAsia="Arial" w:hAnsi="Arial"/>
          <w:sz w:val="18"/>
          <w:szCs w:val="18"/>
          <w:color w:val="auto"/>
        </w:rPr>
      </w:pPr>
    </w:p>
    <w:p>
      <w:pPr>
        <w:ind w:left="-656" w:right="40" w:firstLine="656"/>
        <w:spacing w:after="0" w:line="266"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construction or application of this Agreement shall be determined by the Committee. Any determination made hereunder shall be final, binding and conclusive on the Participant and Corporation for all purposes.</w:t>
      </w:r>
    </w:p>
    <w:p>
      <w:pPr>
        <w:spacing w:after="0" w:line="176" w:lineRule="exact"/>
        <w:rPr>
          <w:rFonts w:ascii="Arial" w:cs="Arial" w:eastAsia="Arial" w:hAnsi="Arial"/>
          <w:sz w:val="18"/>
          <w:szCs w:val="18"/>
          <w:color w:val="auto"/>
        </w:rPr>
      </w:pPr>
    </w:p>
    <w:p>
      <w:pPr>
        <w:ind w:left="-656" w:right="20" w:firstLine="656"/>
        <w:spacing w:after="0" w:line="253"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 Consent</w:t>
      </w:r>
      <w:r>
        <w:rPr>
          <w:rFonts w:ascii="Arial" w:cs="Arial" w:eastAsia="Arial" w:hAnsi="Arial"/>
          <w:sz w:val="18"/>
          <w:szCs w:val="18"/>
          <w:color w:val="auto"/>
        </w:rPr>
        <w:t>. As a condition of the grant of the Restricted Units, the Participant hereby consents to the collection, use</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transfer of personal data as described in this paragraph. The Participant understands that the Corporation and its subsidiaries hold certain personal information about the Participant, including name, home address and telephone number, date of birth, social security number, salary, nationality, job title, ownership interests or directorships held in the Corporation or its subsidiaries, and details of all restricted units or other equity awards or other entitlements to shares of common stock awarded, cancelled, exercised, vested or unvested (“Data”). The Participant further understands that the Corporation and its subsidiaries will transfer Data among themselves as necessary for the purposes of implementation, administration and management of the Participant’s participation in the Plan, and that the Corporation and any of its subsidiaries may each further transfer Data to any third parties assisting the Corporation in the implementation, administration and management of the Plan. The Participant understands that these recipients may be located in the European Economic Area or elsewhere, such as the United States. The Participant hereby authorizes them to receive, possess, use, retain and transfer such Data as may be required for the administration of the Plan or the subsequent holding of shares of common stock on the Participant’s behalf, in electronic or other form, for the purposes of implementing, administering and managing the Participant’s participation in the Plan, including any requisite transfer to a broker or other third party with whom the Participant may elect to deposit any shares of common stock acquired under the Plan. The Participant may, at any time, view such Data or require any necessary amendments to it.</w:t>
      </w:r>
    </w:p>
    <w:p>
      <w:pPr>
        <w:spacing w:after="0" w:line="186" w:lineRule="exact"/>
        <w:rPr>
          <w:rFonts w:ascii="Arial" w:cs="Arial" w:eastAsia="Arial" w:hAnsi="Arial"/>
          <w:sz w:val="18"/>
          <w:szCs w:val="18"/>
          <w:color w:val="auto"/>
        </w:rPr>
      </w:pPr>
    </w:p>
    <w:p>
      <w:pPr>
        <w:ind w:left="-656" w:right="80" w:firstLine="656"/>
        <w:spacing w:after="0" w:line="282" w:lineRule="auto"/>
        <w:tabs>
          <w:tab w:leader="none" w:pos="442"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Limitation on Rights; No Right to Future Grants; Extraordinary Item of Compensation</w:t>
      </w:r>
      <w:r>
        <w:rPr>
          <w:rFonts w:ascii="Arial" w:cs="Arial" w:eastAsia="Arial" w:hAnsi="Arial"/>
          <w:sz w:val="18"/>
          <w:szCs w:val="18"/>
          <w:color w:val="auto"/>
        </w:rPr>
        <w:t>. By accepting this Agreement and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Restricted Units contemplated hereunder, the Participant</w:t>
      </w:r>
    </w:p>
    <w:p>
      <w:pPr>
        <w:sectPr>
          <w:pgSz w:w="11900" w:h="16838" w:orient="portrait"/>
          <w:cols w:equalWidth="0" w:num="1">
            <w:col w:w="10764"/>
          </w:cols>
          <w:pgMar w:left="896" w:top="1093" w:right="239" w:bottom="1440" w:gutter="0" w:footer="0" w:header="0"/>
        </w:sectPr>
      </w:pPr>
    </w:p>
    <w:bookmarkStart w:id="120" w:name="page121"/>
    <w:bookmarkEnd w:id="120"/>
    <w:p>
      <w:pPr>
        <w:spacing w:after="0" w:line="251" w:lineRule="auto"/>
        <w:rPr>
          <w:sz w:val="20"/>
          <w:szCs w:val="20"/>
          <w:color w:val="auto"/>
        </w:rPr>
      </w:pPr>
      <w:r>
        <w:rPr>
          <w:rFonts w:ascii="Arial" w:cs="Arial" w:eastAsia="Arial" w:hAnsi="Arial"/>
          <w:sz w:val="18"/>
          <w:szCs w:val="18"/>
          <w:color w:val="auto"/>
        </w:rPr>
        <w:t>expressly acknowledges that (a) the Plan is discretionary in nature and may be suspended or terminated by the Corporation at any time; (b) the grant of Restricted Units is a one-time benefit that does not create any contractual or other right to receive future grants of restricted units, or benefits in lieu of restricted units; (c) all determinations with respect to future grants of restricted units, if any, including the grant date, the number of Shares granted and the restricted period, will be at the sole discretion of the Corporation; (d) the Participant’s participation in the Plan is voluntary; (e) the value of the Restricted Units is an extraordinary item of compensation that is outside the scope of the Participant’s employment contract, if any, and nothing can or must automatically be inferred from such employment contract or its consequences; (f) grants of restricted units are not part of normal or expected compensation for any purpose and are not to be used for calculating any severance, resignation, redundancy, end of service payments, bonuses, long-service awards, pension or retirement benefits or similar payments, and the Participant waives any claim on such basis; and (g) the future value of the underlying Shares is unknown and cannot be predicted with certainty. In addition, the Participant understands, acknowledges and agrees that the Participant will have no rights to compensation or damages related to restricted unit proceeds in consequence of the termination of the Participant’s employment for any reason whatsoever and whether or not in breach of contract.</w:t>
      </w:r>
    </w:p>
    <w:p>
      <w:pPr>
        <w:spacing w:after="0" w:line="193" w:lineRule="exact"/>
        <w:rPr>
          <w:sz w:val="20"/>
          <w:szCs w:val="20"/>
          <w:color w:val="auto"/>
        </w:rPr>
      </w:pPr>
    </w:p>
    <w:p>
      <w:pPr>
        <w:ind w:right="160" w:firstLine="656"/>
        <w:spacing w:after="0" w:line="261" w:lineRule="auto"/>
        <w:tabs>
          <w:tab w:leader="none" w:pos="1098"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 Administrator</w:t>
      </w:r>
      <w:r>
        <w:rPr>
          <w:rFonts w:ascii="Arial" w:cs="Arial" w:eastAsia="Arial" w:hAnsi="Arial"/>
          <w:sz w:val="18"/>
          <w:szCs w:val="18"/>
          <w:color w:val="auto"/>
        </w:rPr>
        <w:t>. The Corporation may from time to time to designate a third party (an “</w:t>
      </w:r>
      <w:r>
        <w:rPr>
          <w:rFonts w:ascii="Arial" w:cs="Arial" w:eastAsia="Arial" w:hAnsi="Arial"/>
          <w:sz w:val="18"/>
          <w:szCs w:val="18"/>
          <w:u w:val="single" w:color="auto"/>
          <w:color w:val="auto"/>
        </w:rPr>
        <w:t>Award Administrator</w:t>
      </w:r>
      <w:r>
        <w:rPr>
          <w:rFonts w:ascii="Arial" w:cs="Arial" w:eastAsia="Arial" w:hAnsi="Arial"/>
          <w:sz w:val="18"/>
          <w:szCs w:val="18"/>
          <w:color w:val="auto"/>
        </w:rPr>
        <w:t>”) to assist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in the implementation, administration and management of the Plan and any Restricted Units granted thereunder, including by sending Award Letters on behalf of the Corporation to Participants, and by facilitating through electronic means acceptance of Restricted Unit Agreements by Participants.</w:t>
      </w:r>
    </w:p>
    <w:p>
      <w:pPr>
        <w:spacing w:after="0" w:line="180" w:lineRule="exact"/>
        <w:rPr>
          <w:rFonts w:ascii="Arial" w:cs="Arial" w:eastAsia="Arial" w:hAnsi="Arial"/>
          <w:sz w:val="18"/>
          <w:szCs w:val="18"/>
          <w:color w:val="auto"/>
        </w:rPr>
      </w:pPr>
    </w:p>
    <w:p>
      <w:pPr>
        <w:ind w:right="20" w:firstLine="656"/>
        <w:spacing w:after="0" w:line="255" w:lineRule="auto"/>
        <w:tabs>
          <w:tab w:leader="none" w:pos="1098"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Section 409A</w:t>
      </w:r>
      <w:r>
        <w:rPr>
          <w:rFonts w:ascii="Arial" w:cs="Arial" w:eastAsia="Arial" w:hAnsi="Arial"/>
          <w:sz w:val="18"/>
          <w:szCs w:val="18"/>
          <w:color w:val="auto"/>
        </w:rPr>
        <w:t>. This Agreement is intended to comply with the provisions of Section 409A of the Code and the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 Without limiting the foregoing, the Committee shall have the right to amend the terms and conditions of this Agreement in any respect as may be necessary or appropriate to comply with Section 409A of the Code or any regulations promulgated thereunder. In the event that it is reasonably determined by the Board or Committee that, as a result of Section 409A of the Code, settlement of this Award may not occur at the time contemplated by the terms of this Agreement without causing the Participant to be subject to taxation under Section 409A of the Code, the Corporation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w:t>
      </w:r>
    </w:p>
    <w:p>
      <w:pPr>
        <w:spacing w:after="0" w:line="185" w:lineRule="exact"/>
        <w:rPr>
          <w:rFonts w:ascii="Arial" w:cs="Arial" w:eastAsia="Arial" w:hAnsi="Arial"/>
          <w:sz w:val="18"/>
          <w:szCs w:val="18"/>
          <w:color w:val="auto"/>
        </w:rPr>
      </w:pPr>
    </w:p>
    <w:p>
      <w:pPr>
        <w:ind w:right="780" w:firstLine="656"/>
        <w:spacing w:after="0" w:line="282" w:lineRule="auto"/>
        <w:tabs>
          <w:tab w:leader="none" w:pos="1098"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Book Entry Delivery of Shares</w:t>
      </w:r>
      <w:r>
        <w:rPr>
          <w:rFonts w:ascii="Arial" w:cs="Arial" w:eastAsia="Arial" w:hAnsi="Arial"/>
          <w:sz w:val="18"/>
          <w:szCs w:val="18"/>
          <w:color w:val="auto"/>
        </w:rPr>
        <w:t>. Whenever reference in this Agreement is made to the issuance or delivery of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one or more Shares, the Corporation may elect to issue or deliver such Shares in book entry form in lieu of certificates.</w:t>
      </w:r>
    </w:p>
    <w:p>
      <w:pPr>
        <w:sectPr>
          <w:pgSz w:w="11900" w:h="16838" w:orient="portrait"/>
          <w:cols w:equalWidth="0" w:num="1">
            <w:col w:w="11400"/>
          </w:cols>
          <w:pgMar w:left="240" w:top="895" w:right="259" w:bottom="1440" w:gutter="0" w:footer="0" w:header="0"/>
        </w:sectPr>
      </w:pPr>
    </w:p>
    <w:bookmarkStart w:id="121" w:name="page122"/>
    <w:bookmarkEnd w:id="121"/>
    <w:p>
      <w:pPr>
        <w:ind w:firstLine="656"/>
        <w:spacing w:after="0" w:line="258" w:lineRule="auto"/>
        <w:tabs>
          <w:tab w:leader="none" w:pos="1098" w:val="left"/>
        </w:tabs>
        <w:numPr>
          <w:ilvl w:val="0"/>
          <w:numId w:val="75"/>
        </w:numPr>
        <w:rPr>
          <w:rFonts w:ascii="Arial" w:cs="Arial" w:eastAsia="Arial" w:hAnsi="Arial"/>
          <w:sz w:val="18"/>
          <w:szCs w:val="18"/>
          <w:color w:val="auto"/>
        </w:rPr>
      </w:pPr>
      <w:r>
        <w:rPr>
          <w:rFonts w:ascii="Arial" w:cs="Arial" w:eastAsia="Arial" w:hAnsi="Arial"/>
          <w:sz w:val="18"/>
          <w:szCs w:val="18"/>
          <w:i w:val="1"/>
          <w:iCs w:val="1"/>
          <w:u w:val="single" w:color="auto"/>
          <w:color w:val="auto"/>
        </w:rPr>
        <w:t>Acceptance</w:t>
      </w:r>
      <w:r>
        <w:rPr>
          <w:rFonts w:ascii="Arial" w:cs="Arial" w:eastAsia="Arial" w:hAnsi="Arial"/>
          <w:sz w:val="18"/>
          <w:szCs w:val="18"/>
          <w:color w:val="auto"/>
        </w:rPr>
        <w:t>. This Agreement shall not be enforceable until it has been executed by the Participant. In the event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designated an Award Administrator, the acceptance (including through electronic means) of the Restricted Unit award contemplated by this Agreement in accordance with the procedures established from time to time by the Award Administrator shall be deemed to constitute the Participant’s acknowledgment and agreement to the terms and conditions of this Agreement and shall have the same legal effect in all respects of the Participant having executed this Agreement by hand.</w:t>
      </w:r>
    </w:p>
    <w:p>
      <w:pPr>
        <w:spacing w:after="0" w:line="200" w:lineRule="exact"/>
        <w:rPr>
          <w:sz w:val="20"/>
          <w:szCs w:val="20"/>
          <w:color w:val="auto"/>
        </w:rPr>
      </w:pPr>
    </w:p>
    <w:p>
      <w:pPr>
        <w:spacing w:after="0" w:line="218" w:lineRule="exact"/>
        <w:rPr>
          <w:sz w:val="20"/>
          <w:szCs w:val="20"/>
          <w:color w:val="auto"/>
        </w:rPr>
      </w:pPr>
    </w:p>
    <w:p>
      <w:pPr>
        <w:ind w:left="3240"/>
        <w:spacing w:after="0"/>
        <w:tabs>
          <w:tab w:leader="none" w:pos="3680" w:val="left"/>
        </w:tabs>
        <w:rPr>
          <w:sz w:val="20"/>
          <w:szCs w:val="20"/>
          <w:color w:val="auto"/>
        </w:rPr>
      </w:pPr>
      <w:r>
        <w:rPr>
          <w:rFonts w:ascii="Arial" w:cs="Arial" w:eastAsia="Arial" w:hAnsi="Arial"/>
          <w:sz w:val="18"/>
          <w:szCs w:val="18"/>
          <w:color w:val="auto"/>
        </w:rPr>
        <w:t>By:</w:t>
        <w:tab/>
        <w:t>ENGILITY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Wayne M. Rehberger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Thomas O. Miiller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Signature</w:t>
      </w:r>
    </w:p>
    <w:p>
      <w:pPr>
        <w:sectPr>
          <w:pgSz w:w="11900" w:h="16838" w:orient="portrait"/>
          <w:cols w:equalWidth="0" w:num="1">
            <w:col w:w="11380"/>
          </w:cols>
          <w:pgMar w:left="240" w:top="877" w:right="2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ind w:left="3020"/>
              <w:spacing w:after="0"/>
              <w:rPr>
                <w:sz w:val="20"/>
                <w:szCs w:val="20"/>
                <w:color w:val="auto"/>
              </w:rPr>
            </w:pPr>
            <w:r>
              <w:rPr>
                <w:rFonts w:ascii="Arial" w:cs="Arial" w:eastAsia="Arial" w:hAnsi="Arial"/>
                <w:sz w:val="18"/>
                <w:szCs w:val="18"/>
                <w:b w:val="1"/>
                <w:bCs w:val="1"/>
                <w:color w:val="2B4C9B"/>
                <w:w w:val="98"/>
              </w:rPr>
              <w:t>Exhibit 21</w:t>
            </w:r>
          </w:p>
        </w:tc>
      </w:tr>
      <w:tr>
        <w:trPr>
          <w:trHeight w:val="558"/>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Jurisdiction of Incorporation or</w:t>
            </w:r>
          </w:p>
        </w:tc>
      </w:tr>
      <w:tr>
        <w:trPr>
          <w:trHeight w:val="24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Subsidiaries of Registrant</w:t>
            </w:r>
          </w:p>
        </w:tc>
        <w:tc>
          <w:tcPr>
            <w:tcW w:w="340" w:type="dxa"/>
            <w:vAlign w:val="bottom"/>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SAIC International Holdings, Inc.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SAIC Gemini Huntsville, LLC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Odyssey Drive I, Ltd.</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California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Engility Holdings, Inc.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Engility Corporation</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Engility LLC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Forfeiture Support Associates, LLC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420"/>
          </w:cols>
          <w:pgMar w:left="240" w:top="57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2B4C9B"/>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Science Applications International Corporation:</w:t>
      </w:r>
    </w:p>
    <w:p>
      <w:pPr>
        <w:spacing w:after="0" w:line="18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333-191436)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333-203222)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333-229254)</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our reports dated March 29, 2019, with respect to the consolidated financial statements of Science Applications International Corporation and the effectiveness of internal control over financial reporting of Science Applications International Corporation included in this Annual Report (Form 10-K) of Science Applications International Corporation for the year ended February 1, 2019.</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420"/>
          </w:cols>
          <w:pgMar w:left="240" w:top="57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2B4C9B"/>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333-229254, 333-203222 and 333-191436 on Form S-8 of our report dated March 29, 2018, relating to the fiscal 2018 financial statements of Science Applications International Corporation and subsidiaries appearing in this Annual Report on Form 10-K of Science Applications International Corporation for the year ended February 1, 2019.</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420"/>
          </w:cols>
          <w:pgMar w:left="240" w:top="57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2B4C9B"/>
        </w:rPr>
        <w:t>Exhibit 31.1</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Anthony J. Moraco, certify that:</w:t>
      </w:r>
    </w:p>
    <w:p>
      <w:pPr>
        <w:spacing w:after="0" w:line="185" w:lineRule="exact"/>
        <w:rPr>
          <w:sz w:val="20"/>
          <w:szCs w:val="20"/>
          <w:color w:val="auto"/>
        </w:rPr>
      </w:pPr>
    </w:p>
    <w:p>
      <w:pPr>
        <w:ind w:left="500" w:right="960" w:hanging="492"/>
        <w:spacing w:after="0" w:line="262"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February 1, 2019 of Science Applications International Corporation;</w:t>
      </w:r>
    </w:p>
    <w:p>
      <w:pPr>
        <w:spacing w:after="0" w:line="155" w:lineRule="exact"/>
        <w:rPr>
          <w:rFonts w:ascii="Arial" w:cs="Arial" w:eastAsia="Arial" w:hAnsi="Arial"/>
          <w:sz w:val="18"/>
          <w:szCs w:val="18"/>
          <w:color w:val="auto"/>
        </w:rPr>
      </w:pPr>
    </w:p>
    <w:p>
      <w:pPr>
        <w:ind w:left="500" w:right="80" w:hanging="492"/>
        <w:spacing w:after="0" w:line="256"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right="180" w:hanging="492"/>
        <w:spacing w:after="0" w:line="291" w:lineRule="auto"/>
        <w:tabs>
          <w:tab w:leader="none" w:pos="5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140" w:hanging="492"/>
        <w:spacing w:after="0" w:line="250"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8"/>
          <w:szCs w:val="18"/>
          <w:color w:val="auto"/>
        </w:rPr>
      </w:pPr>
    </w:p>
    <w:p>
      <w:pPr>
        <w:jc w:val="both"/>
        <w:ind w:left="980" w:right="160" w:hanging="486"/>
        <w:spacing w:after="0" w:line="256"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486"/>
        <w:spacing w:after="0" w:line="256"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500" w:right="160" w:hanging="492"/>
        <w:spacing w:after="0" w:line="256"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right="120" w:hanging="486"/>
        <w:spacing w:after="0" w:line="262"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340" w:hanging="486"/>
        <w:spacing w:after="0" w:line="262"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171" w:lineRule="exact"/>
        <w:rPr>
          <w:sz w:val="20"/>
          <w:szCs w:val="20"/>
          <w:color w:val="auto"/>
        </w:rPr>
      </w:pPr>
    </w:p>
    <w:p>
      <w:pPr>
        <w:ind w:left="806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Anthony J.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Anthony J. Moraco</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126" w:name="page127"/>
    <w:bookmarkEnd w:id="1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2B4C9B"/>
        </w:rPr>
        <w:t>Exhibit 31.2</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Charles A. Mathis, certify that:</w:t>
      </w:r>
    </w:p>
    <w:p>
      <w:pPr>
        <w:spacing w:after="0" w:line="185" w:lineRule="exact"/>
        <w:rPr>
          <w:sz w:val="20"/>
          <w:szCs w:val="20"/>
          <w:color w:val="auto"/>
        </w:rPr>
      </w:pPr>
    </w:p>
    <w:p>
      <w:pPr>
        <w:ind w:left="500" w:right="960" w:hanging="492"/>
        <w:spacing w:after="0" w:line="262"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February 1, 2019 of Science Applications International Corporation;</w:t>
      </w:r>
    </w:p>
    <w:p>
      <w:pPr>
        <w:spacing w:after="0" w:line="155" w:lineRule="exact"/>
        <w:rPr>
          <w:rFonts w:ascii="Arial" w:cs="Arial" w:eastAsia="Arial" w:hAnsi="Arial"/>
          <w:sz w:val="18"/>
          <w:szCs w:val="18"/>
          <w:color w:val="auto"/>
        </w:rPr>
      </w:pPr>
    </w:p>
    <w:p>
      <w:pPr>
        <w:ind w:left="500" w:right="80" w:hanging="492"/>
        <w:spacing w:after="0" w:line="256"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right="180" w:hanging="492"/>
        <w:spacing w:after="0" w:line="291" w:lineRule="auto"/>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140" w:hanging="492"/>
        <w:spacing w:after="0" w:line="250"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8"/>
          <w:szCs w:val="18"/>
          <w:color w:val="auto"/>
        </w:rPr>
      </w:pPr>
    </w:p>
    <w:p>
      <w:pPr>
        <w:jc w:val="both"/>
        <w:ind w:left="980" w:right="160" w:hanging="486"/>
        <w:spacing w:after="0" w:line="256"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980" w:right="500" w:hanging="486"/>
        <w:spacing w:after="0" w:line="256"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00" w:right="160" w:hanging="492"/>
        <w:spacing w:after="0" w:line="256"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120" w:hanging="486"/>
        <w:spacing w:after="0" w:line="262"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980" w:right="340" w:hanging="486"/>
        <w:spacing w:after="0" w:line="262"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387" w:lineRule="exact"/>
        <w:rPr>
          <w:sz w:val="20"/>
          <w:szCs w:val="20"/>
          <w:color w:val="auto"/>
        </w:rPr>
      </w:pPr>
    </w:p>
    <w:p>
      <w:pPr>
        <w:ind w:left="8080"/>
        <w:spacing w:after="0"/>
        <w:tabs>
          <w:tab w:leader="none" w:pos="846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2B4C9B"/>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February 1, 2019 as filed with the Securities and Exchange Commission on the date hereof (the “Report”), I, Anthony J. Moraco, Chief Executive Officer of the Company, certify, pursuant to 18 U.S.C. § 1350, as adopted pursuant to § 906 of the Sarbanes-Oxley Act of 2002, that to the best of my knowledge:</w:t>
      </w:r>
    </w:p>
    <w:p>
      <w:pPr>
        <w:spacing w:after="0" w:line="164"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640" w:firstLine="8"/>
        <w:spacing w:after="0" w:line="262"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387" w:lineRule="exact"/>
        <w:rPr>
          <w:sz w:val="20"/>
          <w:szCs w:val="20"/>
          <w:color w:val="auto"/>
        </w:rPr>
      </w:pPr>
    </w:p>
    <w:p>
      <w:pPr>
        <w:ind w:left="806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Anthony J.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Anthony J. Moraco</w:t>
      </w:r>
    </w:p>
    <w:p>
      <w:pPr>
        <w:spacing w:after="0" w:line="19"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2B4C9B"/>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February 1, 2019 as filed with the Securities and Exchange Commission on the date hereof (the “Report”), I, Charles A. Mathis, Chief Financial Officer of the Company, certify, pursuant to 18 U.S.C. § 1350, as adopted pursuant to § 906 of the Sarbanes-Oxley Act of 2002, that to the best of my knowledge:</w:t>
      </w:r>
    </w:p>
    <w:p>
      <w:pPr>
        <w:spacing w:after="0" w:line="164"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260" w:right="640" w:hanging="252"/>
        <w:spacing w:after="0" w:line="262" w:lineRule="auto"/>
        <w:tabs>
          <w:tab w:leader="none" w:pos="21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387" w:lineRule="exact"/>
        <w:rPr>
          <w:sz w:val="20"/>
          <w:szCs w:val="20"/>
          <w:color w:val="auto"/>
        </w:rPr>
      </w:pPr>
    </w:p>
    <w:p>
      <w:pPr>
        <w:ind w:left="8120"/>
        <w:spacing w:after="0"/>
        <w:tabs>
          <w:tab w:leader="none" w:pos="848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0"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1)"/>
      <w:numFmt w:val="lowerRoman"/>
      <w:start w:val="4"/>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1)"/>
      <w:numFmt w:val="lowerLetter"/>
      <w:start w:val="1"/>
    </w:lvl>
    <w:lvl w:ilvl="1">
      <w:lvlJc w:val="left"/>
      <w:lvlText w:val="%2."/>
      <w:numFmt w:val="decimal"/>
      <w:start w:val="1"/>
    </w:lvl>
  </w:abstractNum>
  <w:abstractNum w:abstractNumId="16">
    <w:nsid w:val="32FFF902"/>
    <w:multiLevelType w:val="hybridMultilevel"/>
    <w:lvl w:ilvl="0">
      <w:lvlJc w:val="left"/>
      <w:lvlText w:val="%1."/>
      <w:numFmt w:val="decimal"/>
      <w:start w:val="2"/>
    </w:lvl>
  </w:abstractNum>
  <w:abstractNum w:abstractNumId="17">
    <w:nsid w:val="684A481A"/>
    <w:multiLevelType w:val="hybridMultilevel"/>
    <w:lvl w:ilvl="0">
      <w:lvlJc w:val="left"/>
      <w:lvlText w:val="%1."/>
      <w:numFmt w:val="decimal"/>
      <w:start w:val="3"/>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2"/>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6"/>
    </w:lvl>
  </w:abstractNum>
  <w:abstractNum w:abstractNumId="30">
    <w:nsid w:val="649BB77C"/>
    <w:multiLevelType w:val="hybridMultilevel"/>
    <w:lvl w:ilvl="0">
      <w:lvlJc w:val="left"/>
      <w:lvlText w:val="(%1)"/>
      <w:numFmt w:val="lowerLetter"/>
      <w:start w:val="2"/>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5"/>
    </w:lvl>
  </w:abstractNum>
  <w:abstractNum w:abstractNumId="33">
    <w:nsid w:val="1CF10FD8"/>
    <w:multiLevelType w:val="hybridMultilevel"/>
    <w:lvl w:ilvl="0">
      <w:lvlJc w:val="left"/>
      <w:lvlText w:val="(%1)"/>
      <w:numFmt w:val="lowerLetter"/>
      <w:start w:val="3"/>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5"/>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2"/>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lowerLetter"/>
      <w:start w:val="3"/>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upperLetter"/>
      <w:start w:val="1"/>
    </w:lvl>
  </w:abstractNum>
  <w:abstractNum w:abstractNumId="43">
    <w:nsid w:val="61574095"/>
    <w:multiLevelType w:val="hybridMultilevel"/>
    <w:lvl w:ilvl="0">
      <w:lvlJc w:val="left"/>
      <w:lvlText w:val="(%1)"/>
      <w:numFmt w:val="upperLetter"/>
      <w:start w:val="1"/>
    </w:lvl>
  </w:abstractNum>
  <w:abstractNum w:abstractNumId="44">
    <w:nsid w:val="7E0C57B1"/>
    <w:multiLevelType w:val="hybridMultilevel"/>
    <w:lvl w:ilvl="0">
      <w:lvlJc w:val="left"/>
      <w:lvlText w:val="(%1)"/>
      <w:numFmt w:val="lowerLetter"/>
      <w:start w:val="2"/>
    </w:lvl>
  </w:abstractNum>
  <w:abstractNum w:abstractNumId="45">
    <w:nsid w:val="77AE35EB"/>
    <w:multiLevelType w:val="hybridMultilevel"/>
    <w:lvl w:ilvl="0">
      <w:lvlJc w:val="left"/>
      <w:lvlText w:val="(%1)"/>
      <w:numFmt w:val="lowerLetter"/>
      <w:start w:val="3"/>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lowerLetter"/>
      <w:start w:val="4"/>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Letter"/>
      <w:start w:val="5"/>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lowerLetter"/>
      <w:start w:val="3"/>
    </w:lvl>
  </w:abstractNum>
  <w:abstractNum w:abstractNumId="53">
    <w:nsid w:val="1F48EAA1"/>
    <w:multiLevelType w:val="hybridMultilevel"/>
    <w:lvl w:ilvl="0">
      <w:lvlJc w:val="left"/>
      <w:lvlText w:val="(%1)"/>
      <w:numFmt w:val="lowerLetter"/>
      <w:start w:val="7"/>
    </w:lvl>
  </w:abstractNum>
  <w:abstractNum w:abstractNumId="54">
    <w:nsid w:val="1381823A"/>
    <w:multiLevelType w:val="hybridMultilevel"/>
    <w:lvl w:ilvl="0">
      <w:lvlJc w:val="left"/>
      <w:lvlText w:val="%1."/>
      <w:numFmt w:val="decimal"/>
      <w:start w:val="1"/>
    </w:lvl>
    <w:lvl w:ilvl="1">
      <w:lvlJc w:val="left"/>
      <w:lvlText w:val="(%2)"/>
      <w:numFmt w:val="lowerLetter"/>
      <w:start w:val="1"/>
    </w:lvl>
  </w:abstractNum>
  <w:abstractNum w:abstractNumId="55">
    <w:nsid w:val="5DB70AE5"/>
    <w:multiLevelType w:val="hybridMultilevel"/>
    <w:lvl w:ilvl="0">
      <w:lvlJc w:val="left"/>
      <w:lvlText w:val="%1"/>
      <w:numFmt w:val="decimal"/>
      <w:start w:val="1"/>
    </w:lvl>
    <w:lvl w:ilvl="1">
      <w:lvlJc w:val="left"/>
      <w:lvlText w:val="(%2)"/>
      <w:numFmt w:val="lowerLetter"/>
      <w:start w:val="6"/>
    </w:lvl>
  </w:abstractNum>
  <w:abstractNum w:abstractNumId="56">
    <w:nsid w:val="100F8FCA"/>
    <w:multiLevelType w:val="hybridMultilevel"/>
    <w:lvl w:ilvl="0">
      <w:lvlJc w:val="left"/>
      <w:lvlText w:val="%1."/>
      <w:numFmt w:val="decimal"/>
      <w:start w:val="2"/>
    </w:lvl>
    <w:lvl w:ilvl="1">
      <w:lvlJc w:val="left"/>
      <w:lvlText w:val="%2"/>
      <w:numFmt w:val="lowerLetter"/>
      <w:start w:val="1"/>
    </w:lvl>
  </w:abstractNum>
  <w:abstractNum w:abstractNumId="57">
    <w:nsid w:val="6590700B"/>
    <w:multiLevelType w:val="hybridMultilevel"/>
    <w:lvl w:ilvl="0">
      <w:lvlJc w:val="left"/>
      <w:lvlText w:val="%1."/>
      <w:numFmt w:val="decimal"/>
      <w:start w:val="5"/>
    </w:lvl>
    <w:lvl w:ilvl="1">
      <w:lvlJc w:val="left"/>
      <w:lvlText w:val="(%2)"/>
      <w:numFmt w:val="lowerLetter"/>
      <w:start w:val="1"/>
    </w:lvl>
  </w:abstractNum>
  <w:abstractNum w:abstractNumId="58">
    <w:nsid w:val="15014ACB"/>
    <w:multiLevelType w:val="hybridMultilevel"/>
    <w:lvl w:ilvl="0">
      <w:lvlJc w:val="left"/>
      <w:lvlText w:val="(%1)"/>
      <w:numFmt w:val="lowerRoman"/>
      <w:start w:val="1"/>
    </w:lvl>
  </w:abstractNum>
  <w:abstractNum w:abstractNumId="59">
    <w:nsid w:val="5F5E7FD0"/>
    <w:multiLevelType w:val="hybridMultilevel"/>
    <w:lvl w:ilvl="0">
      <w:lvlJc w:val="left"/>
      <w:lvlText w:val="%1."/>
      <w:numFmt w:val="decimal"/>
      <w:start w:val="8"/>
    </w:lvl>
  </w:abstractNum>
  <w:abstractNum w:abstractNumId="60">
    <w:nsid w:val="98A3148"/>
    <w:multiLevelType w:val="hybridMultilevel"/>
    <w:lvl w:ilvl="0">
      <w:lvlJc w:val="left"/>
      <w:lvlText w:val="%1."/>
      <w:numFmt w:val="decimal"/>
      <w:start w:val="10"/>
    </w:lvl>
  </w:abstractNum>
  <w:abstractNum w:abstractNumId="61">
    <w:nsid w:val="799D0247"/>
    <w:multiLevelType w:val="hybridMultilevel"/>
    <w:lvl w:ilvl="0">
      <w:lvlJc w:val="left"/>
      <w:lvlText w:val="%1."/>
      <w:numFmt w:val="decimal"/>
      <w:start w:val="17"/>
    </w:lvl>
  </w:abstractNum>
  <w:abstractNum w:abstractNumId="62">
    <w:nsid w:val="6B94764"/>
    <w:multiLevelType w:val="hybridMultilevel"/>
    <w:lvl w:ilvl="0">
      <w:lvlJc w:val="left"/>
      <w:lvlText w:val="%1."/>
      <w:numFmt w:val="decimal"/>
      <w:start w:val="19"/>
    </w:lvl>
  </w:abstractNum>
  <w:abstractNum w:abstractNumId="63">
    <w:nsid w:val="42C296BD"/>
    <w:multiLevelType w:val="hybridMultilevel"/>
    <w:lvl w:ilvl="0">
      <w:lvlJc w:val="left"/>
      <w:lvlText w:val="%1."/>
      <w:numFmt w:val="decimal"/>
      <w:start w:val="23"/>
    </w:lvl>
  </w:abstractNum>
  <w:abstractNum w:abstractNumId="64">
    <w:nsid w:val="168E121F"/>
    <w:multiLevelType w:val="hybridMultilevel"/>
    <w:lvl w:ilvl="0">
      <w:lvlJc w:val="left"/>
      <w:lvlText w:val="%1."/>
      <w:numFmt w:val="decimal"/>
      <w:start w:val="1"/>
    </w:lvl>
    <w:lvl w:ilvl="1">
      <w:lvlJc w:val="left"/>
      <w:lvlText w:val="(%2)"/>
      <w:numFmt w:val="lowerLetter"/>
      <w:start w:val="1"/>
    </w:lvl>
  </w:abstractNum>
  <w:abstractNum w:abstractNumId="65">
    <w:nsid w:val="1EBA5D23"/>
    <w:multiLevelType w:val="hybridMultilevel"/>
    <w:lvl w:ilvl="0">
      <w:lvlJc w:val="left"/>
      <w:lvlText w:val="(%1)"/>
      <w:numFmt w:val="lowerLetter"/>
      <w:start w:val="5"/>
    </w:lvl>
    <w:lvl w:ilvl="1">
      <w:lvlJc w:val="left"/>
      <w:lvlText w:val="(%2)"/>
      <w:numFmt w:val="lowerLetter"/>
      <w:start w:val="7"/>
    </w:lvl>
  </w:abstractNum>
  <w:abstractNum w:abstractNumId="66">
    <w:nsid w:val="661E3F1E"/>
    <w:multiLevelType w:val="hybridMultilevel"/>
    <w:lvl w:ilvl="0">
      <w:lvlJc w:val="left"/>
      <w:lvlText w:val="(%1)"/>
      <w:numFmt w:val="lowerLetter"/>
      <w:start w:val="8"/>
    </w:lvl>
    <w:lvl w:ilvl="1">
      <w:lvlJc w:val="left"/>
      <w:lvlText w:val="(%2)"/>
      <w:numFmt w:val="lowerLetter"/>
      <w:start w:val="9"/>
    </w:lvl>
  </w:abstractNum>
  <w:abstractNum w:abstractNumId="67">
    <w:nsid w:val="5DC79EA8"/>
    <w:multiLevelType w:val="hybridMultilevel"/>
    <w:lvl w:ilvl="0">
      <w:lvlJc w:val="left"/>
      <w:lvlText w:val="%1."/>
      <w:numFmt w:val="decimal"/>
      <w:start w:val="2"/>
    </w:lvl>
    <w:lvl w:ilvl="1">
      <w:lvlJc w:val="left"/>
      <w:lvlText w:val="(%2)"/>
      <w:numFmt w:val="lowerLetter"/>
      <w:start w:val="1"/>
    </w:lvl>
  </w:abstractNum>
  <w:abstractNum w:abstractNumId="68">
    <w:nsid w:val="540A47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9">
    <w:nsid w:val="7BD3EE7B"/>
    <w:multiLevelType w:val="hybridMultilevel"/>
    <w:lvl w:ilvl="0">
      <w:lvlJc w:val="left"/>
      <w:lvlText w:val="%1"/>
      <w:numFmt w:val="decimal"/>
      <w:start w:val="1"/>
    </w:lvl>
    <w:lvl w:ilvl="1">
      <w:lvlJc w:val="left"/>
      <w:lvlText w:val="(%2)"/>
      <w:numFmt w:val="lowerLetter"/>
      <w:start w:val="4"/>
    </w:lvl>
  </w:abstractNum>
  <w:abstractNum w:abstractNumId="70">
    <w:nsid w:val="51D9C564"/>
    <w:multiLevelType w:val="hybridMultilevel"/>
    <w:lvl w:ilvl="0">
      <w:lvlJc w:val="left"/>
      <w:lvlText w:val="%1."/>
      <w:numFmt w:val="decimal"/>
      <w:start w:val="8"/>
    </w:lvl>
    <w:lvl w:ilvl="1">
      <w:lvlJc w:val="left"/>
      <w:lvlText w:val="%2"/>
      <w:numFmt w:val="lowerLetter"/>
      <w:start w:val="1"/>
    </w:lvl>
  </w:abstractNum>
  <w:abstractNum w:abstractNumId="71">
    <w:nsid w:val="613EFDC5"/>
    <w:multiLevelType w:val="hybridMultilevel"/>
    <w:lvl w:ilvl="0">
      <w:lvlJc w:val="left"/>
      <w:lvlText w:val="%1."/>
      <w:numFmt w:val="decimal"/>
      <w:start w:val="12"/>
    </w:lvl>
  </w:abstractNum>
  <w:abstractNum w:abstractNumId="72">
    <w:nsid w:val="BF72B14"/>
    <w:multiLevelType w:val="hybridMultilevel"/>
    <w:lvl w:ilvl="0">
      <w:lvlJc w:val="left"/>
      <w:lvlText w:val="%1."/>
      <w:numFmt w:val="decimal"/>
      <w:start w:val="18"/>
    </w:lvl>
  </w:abstractNum>
  <w:abstractNum w:abstractNumId="73">
    <w:nsid w:val="11447B73"/>
    <w:multiLevelType w:val="hybridMultilevel"/>
    <w:lvl w:ilvl="0">
      <w:lvlJc w:val="left"/>
      <w:lvlText w:val="%1."/>
      <w:numFmt w:val="decimal"/>
      <w:start w:val="25"/>
    </w:lvl>
  </w:abstractNum>
  <w:abstractNum w:abstractNumId="74">
    <w:nsid w:val="42963E5A"/>
    <w:multiLevelType w:val="hybridMultilevel"/>
    <w:lvl w:ilvl="0">
      <w:lvlJc w:val="left"/>
      <w:lvlText w:val="%1."/>
      <w:numFmt w:val="decimal"/>
      <w:start w:val="28"/>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13" Type="http://schemas.openxmlformats.org/officeDocument/2006/relationships/hyperlink" Target="http://www.sec.gov/Archives/edgar/data/1571123/000119312513387316/d605504dex21.htm" TargetMode="External"/><Relationship Id="rId114" Type="http://schemas.openxmlformats.org/officeDocument/2006/relationships/hyperlink" Target="http://www.sec.gov/Archives/edgar/data/1571123/000157112318000036/saic-ex21_20180909.htm" TargetMode="External"/><Relationship Id="rId115" Type="http://schemas.openxmlformats.org/officeDocument/2006/relationships/hyperlink" Target="http://www.sec.gov/Archives/edgar/data/1571123/000157112318000036/saic-ex22_20180909.htm" TargetMode="External"/><Relationship Id="rId116" Type="http://schemas.openxmlformats.org/officeDocument/2006/relationships/hyperlink" Target="http://www.sec.gov/Archives/edgar/data/1571123/000119312513387316/d605504dex31.htm" TargetMode="External"/><Relationship Id="rId117" Type="http://schemas.openxmlformats.org/officeDocument/2006/relationships/hyperlink" Target="http://www.sec.gov/Archives/edgar/data/1571123/000156459017012348/saic-ex31_7.htm" TargetMode="External"/><Relationship Id="rId118" Type="http://schemas.openxmlformats.org/officeDocument/2006/relationships/hyperlink" Target="http://www.sec.gov/Archives/edgar/data/1571123/000157112318000063/exhibit101.htm" TargetMode="External"/><Relationship Id="rId119" Type="http://schemas.openxmlformats.org/officeDocument/2006/relationships/hyperlink" Target="http://www.sec.gov/Archives/edgar/data/1571123/000157112318000036/saic-ex101_20180909.htm" TargetMode="External"/><Relationship Id="rId120" Type="http://schemas.openxmlformats.org/officeDocument/2006/relationships/hyperlink" Target="http://www.sec.gov/Archives/edgar/data/1571123/000157112318000004/exhibit101.htm" TargetMode="External"/><Relationship Id="rId121" Type="http://schemas.openxmlformats.org/officeDocument/2006/relationships/hyperlink" Target="http://www.sec.gov/Archives/edgar/data/1571123/000156459016024727/saic-ex101_7.htm" TargetMode="External"/><Relationship Id="rId122" Type="http://schemas.openxmlformats.org/officeDocument/2006/relationships/hyperlink" Target="http://www.sec.gov/Archives/edgar/data/1571123/000156459015003242/saic-ex101_201505047.htm" TargetMode="External"/><Relationship Id="rId123" Type="http://schemas.openxmlformats.org/officeDocument/2006/relationships/hyperlink" Target="http://www.sec.gov/Archives/edgar/data/1571123/000119312513382523/d603674dex44.htm" TargetMode="External"/><Relationship Id="rId124" Type="http://schemas.openxmlformats.org/officeDocument/2006/relationships/hyperlink" Target="http://www.sec.gov/Archives/edgar/data/1571123/000119312513382523/d603674dex45.htm" TargetMode="External"/><Relationship Id="rId125" Type="http://schemas.openxmlformats.org/officeDocument/2006/relationships/hyperlink" Target="http://www.sec.gov/Archives/edgar/data/1571123/000119312513382523/d603674dex47.htm" TargetMode="External"/><Relationship Id="rId126" Type="http://schemas.openxmlformats.org/officeDocument/2006/relationships/hyperlink" Target="http://www.sec.gov/Archives/edgar/data/1571123/000119312513382523/d603674dex48.htm" TargetMode="External"/><Relationship Id="rId127" Type="http://schemas.openxmlformats.org/officeDocument/2006/relationships/hyperlink" Target="http://www.sec.gov/Archives/edgar/data/1571123/000119312513382523/d603674dex49.htm" TargetMode="External"/><Relationship Id="rId128" Type="http://schemas.openxmlformats.org/officeDocument/2006/relationships/hyperlink" Target="http://www.sec.gov/Archives/edgar/data/1571123/000119312514155706/d673471ddef14a.htm" TargetMode="External"/><Relationship Id="rId129" Type="http://schemas.openxmlformats.org/officeDocument/2006/relationships/hyperlink" Target="http://www.sec.gov/Archives/edgar/data/1571123/000119312513472090/d614152dex102.htm" TargetMode="External"/><Relationship Id="rId130" Type="http://schemas.openxmlformats.org/officeDocument/2006/relationships/hyperlink" Target="http://www.sec.gov/Archives/edgar/data/1571123/000119312514135913/d648713dex1012.htm" TargetMode="External"/><Relationship Id="rId131" Type="http://schemas.openxmlformats.org/officeDocument/2006/relationships/hyperlink" Target="http://www.sec.gov/Archives/edgar/data/1571123/000119312514135913/d648713dex1014.htm" TargetMode="External"/><Relationship Id="rId132" Type="http://schemas.openxmlformats.org/officeDocument/2006/relationships/hyperlink" Target="http://www.sec.gov/Archives/edgar/data/1571123/000119312514135913/d648713dex1015.htm" TargetMode="External"/><Relationship Id="rId133" Type="http://schemas.openxmlformats.org/officeDocument/2006/relationships/hyperlink" Target="http://www.sec.gov/Archives/edgar/data/1571123/000156459015002280/saic-ex1017_201501301152.htm" TargetMode="External"/><Relationship Id="rId134" Type="http://schemas.openxmlformats.org/officeDocument/2006/relationships/hyperlink" Target="http://www.sec.gov/Archives/edgar/data/1571123/000156459016015504/saic-ex1018_1040.htm" TargetMode="External"/><Relationship Id="rId135" Type="http://schemas.openxmlformats.org/officeDocument/2006/relationships/hyperlink" Target="http://www.sec.gov/Archives/edgar/data/1571123/000119312513387316/d605504dex103.htm" TargetMode="External"/><Relationship Id="rId136" Type="http://schemas.openxmlformats.org/officeDocument/2006/relationships/hyperlink" Target="http://www.sec.gov/Archives/edgar/data/1571123/000119312513472090/d614152dex101.htm" TargetMode="External"/><Relationship Id="rId137" Type="http://schemas.openxmlformats.org/officeDocument/2006/relationships/hyperlink" Target="http://www.sec.gov/Archives/edgar/data/1571123/000157112318000012/exhibit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2019-12-03T18:26:43Z</dcterms:created>
  <dcterms:modified xsi:type="dcterms:W3CDTF">2019-12-03T18:26:43Z</dcterms:modified>
</cp:coreProperties>
</file>