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370840</wp:posOffset>
            </wp:positionH>
            <wp:positionV relativeFrom="page">
              <wp:posOffset>791845</wp:posOffset>
            </wp:positionV>
            <wp:extent cx="68065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06565" cy="8890"/>
                    </a:xfrm>
                    <a:prstGeom prst="rect">
                      <a:avLst/>
                    </a:prstGeom>
                    <a:noFill/>
                  </pic:spPr>
                </pic:pic>
              </a:graphicData>
            </a:graphic>
          </wp:anchor>
        </w:drawing>
        <w:drawing>
          <wp:anchor simplePos="0" relativeHeight="251657728" behindDoc="1" locked="0" layoutInCell="0" allowOverlap="1">
            <wp:simplePos x="0" y="0"/>
            <wp:positionH relativeFrom="page">
              <wp:posOffset>370840</wp:posOffset>
            </wp:positionH>
            <wp:positionV relativeFrom="page">
              <wp:posOffset>757555</wp:posOffset>
            </wp:positionV>
            <wp:extent cx="680656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06565" cy="8255"/>
                    </a:xfrm>
                    <a:prstGeom prst="rect">
                      <a:avLst/>
                    </a:prstGeom>
                    <a:noFill/>
                  </pic:spPr>
                </pic:pic>
              </a:graphicData>
            </a:graphic>
          </wp:anchor>
        </w:drawing>
      </w:r>
    </w:p>
    <w:p>
      <w:pPr>
        <w:spacing w:after="0" w:line="321" w:lineRule="exact"/>
        <w:rPr>
          <w:sz w:val="24"/>
          <w:szCs w:val="24"/>
          <w:color w:val="auto"/>
        </w:rPr>
      </w:pPr>
    </w:p>
    <w:p>
      <w:pPr>
        <w:jc w:val="center"/>
        <w:ind w:right="-846"/>
        <w:spacing w:after="0"/>
        <w:rPr>
          <w:sz w:val="20"/>
          <w:szCs w:val="20"/>
          <w:color w:val="auto"/>
        </w:rPr>
      </w:pPr>
      <w:r>
        <w:rPr>
          <w:rFonts w:ascii="Arial" w:cs="Arial" w:eastAsia="Arial" w:hAnsi="Arial"/>
          <w:sz w:val="32"/>
          <w:szCs w:val="32"/>
          <w:color w:val="010202"/>
        </w:rPr>
        <w:t>UNITED STATES</w:t>
      </w:r>
    </w:p>
    <w:p>
      <w:pPr>
        <w:spacing w:after="0" w:line="42" w:lineRule="exact"/>
        <w:rPr>
          <w:sz w:val="24"/>
          <w:szCs w:val="24"/>
          <w:color w:val="auto"/>
        </w:rPr>
      </w:pPr>
    </w:p>
    <w:p>
      <w:pPr>
        <w:jc w:val="center"/>
        <w:ind w:right="-846"/>
        <w:spacing w:after="0"/>
        <w:rPr>
          <w:sz w:val="20"/>
          <w:szCs w:val="20"/>
          <w:color w:val="auto"/>
        </w:rPr>
      </w:pPr>
      <w:r>
        <w:rPr>
          <w:rFonts w:ascii="Arial" w:cs="Arial" w:eastAsia="Arial" w:hAnsi="Arial"/>
          <w:sz w:val="32"/>
          <w:szCs w:val="32"/>
          <w:color w:val="010202"/>
        </w:rPr>
        <w:t>SECURITIES AND EXCHANGE COMMISSION</w:t>
      </w:r>
    </w:p>
    <w:p>
      <w:pPr>
        <w:spacing w:after="0" w:line="16" w:lineRule="exact"/>
        <w:rPr>
          <w:sz w:val="24"/>
          <w:szCs w:val="24"/>
          <w:color w:val="auto"/>
        </w:rPr>
      </w:pPr>
    </w:p>
    <w:p>
      <w:pPr>
        <w:ind w:left="4267"/>
        <w:spacing w:after="0"/>
        <w:rPr>
          <w:sz w:val="20"/>
          <w:szCs w:val="20"/>
          <w:color w:val="auto"/>
        </w:rPr>
      </w:pPr>
      <w:r>
        <w:rPr>
          <w:rFonts w:ascii="Arial" w:cs="Arial" w:eastAsia="Arial" w:hAnsi="Arial"/>
          <w:sz w:val="20"/>
          <w:szCs w:val="20"/>
          <w:b w:val="1"/>
          <w:bCs w:val="1"/>
          <w:color w:val="auto"/>
        </w:rPr>
        <w:t>Washington, D.C. 20549</w:t>
      </w:r>
    </w:p>
    <w:p>
      <w:pPr>
        <w:spacing w:after="0" w:line="200" w:lineRule="exact"/>
        <w:rPr>
          <w:sz w:val="24"/>
          <w:szCs w:val="24"/>
          <w:color w:val="auto"/>
        </w:rPr>
      </w:pPr>
    </w:p>
    <w:p>
      <w:pPr>
        <w:spacing w:after="0" w:line="329" w:lineRule="exact"/>
        <w:rPr>
          <w:sz w:val="24"/>
          <w:szCs w:val="24"/>
          <w:color w:val="auto"/>
        </w:rPr>
      </w:pPr>
    </w:p>
    <w:p>
      <w:pPr>
        <w:ind w:left="3847"/>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w:t>
      </w:r>
    </w:p>
    <w:p>
      <w:pPr>
        <w:spacing w:after="0" w:line="75" w:lineRule="exact"/>
        <w:rPr>
          <w:sz w:val="24"/>
          <w:szCs w:val="24"/>
          <w:color w:val="auto"/>
        </w:rPr>
      </w:pPr>
    </w:p>
    <w:p>
      <w:pPr>
        <w:ind w:left="4647"/>
        <w:spacing w:after="0"/>
        <w:rPr>
          <w:sz w:val="20"/>
          <w:szCs w:val="20"/>
          <w:color w:val="auto"/>
        </w:rPr>
      </w:pPr>
      <w:r>
        <w:rPr>
          <w:rFonts w:ascii="Arial" w:cs="Arial" w:eastAsia="Arial" w:hAnsi="Arial"/>
          <w:sz w:val="32"/>
          <w:szCs w:val="32"/>
          <w:color w:val="auto"/>
        </w:rPr>
        <w:t>Form 11-K</w:t>
      </w:r>
    </w:p>
    <w:p>
      <w:pPr>
        <w:spacing w:after="0" w:line="241" w:lineRule="exact"/>
        <w:rPr>
          <w:sz w:val="24"/>
          <w:szCs w:val="24"/>
          <w:color w:val="auto"/>
        </w:rPr>
      </w:pPr>
    </w:p>
    <w:p>
      <w:pPr>
        <w:ind w:left="3847"/>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w:t>
      </w:r>
    </w:p>
    <w:p>
      <w:pPr>
        <w:spacing w:after="0" w:line="200" w:lineRule="exact"/>
        <w:rPr>
          <w:sz w:val="24"/>
          <w:szCs w:val="24"/>
          <w:color w:val="auto"/>
        </w:rPr>
      </w:pPr>
    </w:p>
    <w:p>
      <w:pPr>
        <w:spacing w:after="0" w:line="222" w:lineRule="exact"/>
        <w:rPr>
          <w:sz w:val="24"/>
          <w:szCs w:val="24"/>
          <w:color w:val="auto"/>
        </w:rPr>
      </w:pPr>
    </w:p>
    <w:p>
      <w:pPr>
        <w:ind w:left="1467" w:hanging="1453"/>
        <w:spacing w:after="0"/>
        <w:tabs>
          <w:tab w:leader="none" w:pos="1467" w:val="left"/>
        </w:tabs>
        <w:numPr>
          <w:ilvl w:val="0"/>
          <w:numId w:val="1"/>
        </w:numPr>
        <w:rPr>
          <w:rFonts w:ascii="Wingdings" w:cs="Wingdings" w:eastAsia="Wingdings" w:hAnsi="Wingdings"/>
          <w:sz w:val="22"/>
          <w:szCs w:val="22"/>
          <w:b w:val="1"/>
          <w:bCs w:val="1"/>
          <w:color w:val="auto"/>
        </w:rPr>
      </w:pPr>
      <w:r>
        <w:rPr>
          <w:rFonts w:ascii="Arial" w:cs="Arial" w:eastAsia="Arial" w:hAnsi="Arial"/>
          <w:sz w:val="18"/>
          <w:szCs w:val="18"/>
          <w:b w:val="1"/>
          <w:bCs w:val="1"/>
          <w:color w:val="auto"/>
        </w:rPr>
        <w:t>ANNUAL REPORT PURSUANT TO SECTION 15(d) OF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ind w:left="3487"/>
        <w:spacing w:after="0"/>
        <w:rPr>
          <w:sz w:val="20"/>
          <w:szCs w:val="20"/>
          <w:color w:val="auto"/>
        </w:rPr>
      </w:pPr>
      <w:r>
        <w:rPr>
          <w:rFonts w:ascii="Arial" w:cs="Arial" w:eastAsia="Arial" w:hAnsi="Arial"/>
          <w:sz w:val="18"/>
          <w:szCs w:val="18"/>
          <w:b w:val="1"/>
          <w:bCs w:val="1"/>
          <w:color w:val="auto"/>
        </w:rPr>
        <w:t>For the fiscal year ended December 31, 2025</w:t>
      </w:r>
    </w:p>
    <w:p>
      <w:pPr>
        <w:spacing w:after="0" w:line="200" w:lineRule="exact"/>
        <w:rPr>
          <w:sz w:val="24"/>
          <w:szCs w:val="24"/>
          <w:color w:val="auto"/>
        </w:rPr>
      </w:pPr>
    </w:p>
    <w:p>
      <w:pPr>
        <w:spacing w:after="0" w:line="336" w:lineRule="exact"/>
        <w:rPr>
          <w:sz w:val="24"/>
          <w:szCs w:val="24"/>
          <w:color w:val="auto"/>
        </w:rPr>
      </w:pPr>
    </w:p>
    <w:p>
      <w:pPr>
        <w:ind w:left="1287" w:hanging="1287"/>
        <w:spacing w:after="0"/>
        <w:tabs>
          <w:tab w:leader="none" w:pos="1287" w:val="left"/>
        </w:tabs>
        <w:numPr>
          <w:ilvl w:val="0"/>
          <w:numId w:val="2"/>
        </w:numPr>
        <w:rPr>
          <w:rFonts w:ascii="MS PGothic" w:cs="MS PGothic" w:eastAsia="MS PGothic" w:hAnsi="MS PGothic"/>
          <w:sz w:val="21"/>
          <w:szCs w:val="21"/>
          <w:color w:val="auto"/>
        </w:rPr>
      </w:pPr>
      <w:r>
        <w:rPr>
          <w:rFonts w:ascii="Arial" w:cs="Arial" w:eastAsia="Arial" w:hAnsi="Arial"/>
          <w:sz w:val="17"/>
          <w:szCs w:val="17"/>
          <w:b w:val="1"/>
          <w:bCs w:val="1"/>
          <w:color w:val="auto"/>
        </w:rPr>
        <w:t>TRANSITION REPORT PURSUANT TO SECTION 15(d) OF THE SECURITIES EXCHANGE ACT OF 1934</w:t>
      </w:r>
    </w:p>
    <w:p>
      <w:pPr>
        <w:spacing w:after="0" w:line="200" w:lineRule="exact"/>
        <w:rPr>
          <w:sz w:val="24"/>
          <w:szCs w:val="24"/>
          <w:color w:val="auto"/>
        </w:rPr>
      </w:pPr>
    </w:p>
    <w:p>
      <w:pPr>
        <w:spacing w:after="0" w:line="394" w:lineRule="exact"/>
        <w:rPr>
          <w:sz w:val="24"/>
          <w:szCs w:val="24"/>
          <w:color w:val="auto"/>
        </w:rPr>
      </w:pPr>
    </w:p>
    <w:p>
      <w:pPr>
        <w:jc w:val="center"/>
        <w:ind w:right="-846"/>
        <w:spacing w:after="0"/>
        <w:rPr>
          <w:sz w:val="20"/>
          <w:szCs w:val="20"/>
          <w:color w:val="auto"/>
        </w:rPr>
      </w:pPr>
      <w:r>
        <w:rPr>
          <w:rFonts w:ascii="Arial" w:cs="Arial" w:eastAsia="Arial" w:hAnsi="Arial"/>
          <w:sz w:val="18"/>
          <w:szCs w:val="18"/>
          <w:b w:val="1"/>
          <w:bCs w:val="1"/>
          <w:color w:val="010202"/>
        </w:rPr>
        <w:t>For the transition period from to</w:t>
      </w:r>
    </w:p>
    <w:p>
      <w:pPr>
        <w:spacing w:after="0" w:line="185" w:lineRule="exact"/>
        <w:rPr>
          <w:sz w:val="24"/>
          <w:szCs w:val="24"/>
          <w:color w:val="auto"/>
        </w:rPr>
      </w:pPr>
    </w:p>
    <w:p>
      <w:pPr>
        <w:jc w:val="center"/>
        <w:ind w:right="-846"/>
        <w:spacing w:after="0"/>
        <w:rPr>
          <w:sz w:val="20"/>
          <w:szCs w:val="20"/>
          <w:color w:val="auto"/>
        </w:rPr>
      </w:pPr>
      <w:r>
        <w:rPr>
          <w:rFonts w:ascii="Arial" w:cs="Arial" w:eastAsia="Arial" w:hAnsi="Arial"/>
          <w:sz w:val="18"/>
          <w:szCs w:val="18"/>
          <w:b w:val="1"/>
          <w:bCs w:val="1"/>
          <w:color w:val="010202"/>
        </w:rPr>
        <w:t>Commission file number: 001-35832</w:t>
      </w:r>
    </w:p>
    <w:p>
      <w:pPr>
        <w:spacing w:after="0" w:line="26" w:lineRule="exact"/>
        <w:rPr>
          <w:sz w:val="24"/>
          <w:szCs w:val="24"/>
          <w:color w:val="auto"/>
        </w:rPr>
      </w:pPr>
    </w:p>
    <w:p>
      <w:pPr>
        <w:ind w:left="3847"/>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w:t>
      </w:r>
    </w:p>
    <w:p>
      <w:pPr>
        <w:sectPr>
          <w:pgSz w:w="11900" w:h="16838" w:orient="portrait"/>
          <w:cols w:equalWidth="0" w:num="1">
            <w:col w:w="9927"/>
          </w:cols>
          <w:pgMar w:left="553" w:top="1440" w:right="1419" w:bottom="1440" w:gutter="0" w:footer="0" w:header="0"/>
        </w:sectPr>
      </w:pPr>
    </w:p>
    <w:p>
      <w:pPr>
        <w:spacing w:after="0" w:line="200" w:lineRule="exact"/>
        <w:rPr>
          <w:sz w:val="24"/>
          <w:szCs w:val="24"/>
          <w:color w:val="auto"/>
        </w:rPr>
      </w:pPr>
    </w:p>
    <w:p>
      <w:pPr>
        <w:spacing w:after="0" w:line="223" w:lineRule="exact"/>
        <w:rPr>
          <w:sz w:val="24"/>
          <w:szCs w:val="24"/>
          <w:color w:val="auto"/>
        </w:rPr>
      </w:pPr>
    </w:p>
    <w:p>
      <w:pPr>
        <w:ind w:left="67"/>
        <w:spacing w:after="0"/>
        <w:rPr>
          <w:sz w:val="20"/>
          <w:szCs w:val="20"/>
          <w:color w:val="auto"/>
        </w:rPr>
      </w:pPr>
      <w:r>
        <w:rPr>
          <w:rFonts w:ascii="Arial" w:cs="Arial" w:eastAsia="Arial" w:hAnsi="Arial"/>
          <w:sz w:val="18"/>
          <w:szCs w:val="18"/>
          <w:color w:val="010202"/>
        </w:rPr>
        <w:t>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Arial" w:cs="Arial" w:eastAsia="Arial" w:hAnsi="Arial"/>
          <w:sz w:val="18"/>
          <w:szCs w:val="18"/>
          <w:color w:val="010202"/>
        </w:rPr>
        <w:t>Full title of plan and the address of the plan, if different from that of the issuer named below:</w:t>
      </w:r>
    </w:p>
    <w:p>
      <w:pPr>
        <w:spacing w:after="0" w:line="200" w:lineRule="exact"/>
        <w:rPr>
          <w:sz w:val="24"/>
          <w:szCs w:val="24"/>
          <w:color w:val="auto"/>
        </w:rPr>
      </w:pPr>
    </w:p>
    <w:p>
      <w:pPr>
        <w:sectPr>
          <w:pgSz w:w="11900" w:h="16838" w:orient="portrait"/>
          <w:cols w:equalWidth="0" w:num="2">
            <w:col w:w="1267" w:space="720"/>
            <w:col w:w="7940"/>
          </w:cols>
          <w:pgMar w:left="553" w:top="1440" w:right="1419" w:bottom="1440" w:gutter="0" w:footer="0" w:header="0"/>
          <w:type w:val="continuous"/>
        </w:sectPr>
      </w:pPr>
    </w:p>
    <w:p>
      <w:pPr>
        <w:spacing w:after="0" w:line="200" w:lineRule="exact"/>
        <w:rPr>
          <w:sz w:val="24"/>
          <w:szCs w:val="24"/>
          <w:color w:val="auto"/>
        </w:rPr>
      </w:pPr>
    </w:p>
    <w:p>
      <w:pPr>
        <w:spacing w:after="0" w:line="282" w:lineRule="exact"/>
        <w:rPr>
          <w:sz w:val="24"/>
          <w:szCs w:val="24"/>
          <w:color w:val="auto"/>
        </w:rPr>
      </w:pPr>
    </w:p>
    <w:p>
      <w:pPr>
        <w:ind w:left="1047"/>
        <w:spacing w:after="0"/>
        <w:rPr>
          <w:sz w:val="20"/>
          <w:szCs w:val="20"/>
          <w:color w:val="auto"/>
        </w:rPr>
      </w:pPr>
      <w:r>
        <w:rPr>
          <w:rFonts w:ascii="Arial" w:cs="Arial" w:eastAsia="Arial" w:hAnsi="Arial"/>
          <w:sz w:val="29"/>
          <w:szCs w:val="29"/>
          <w:b w:val="1"/>
          <w:bCs w:val="1"/>
          <w:color w:val="010202"/>
        </w:rPr>
        <w:t>Science Applications International Corporation Retirement Plan</w:t>
      </w:r>
    </w:p>
    <w:p>
      <w:pPr>
        <w:spacing w:after="0" w:line="200" w:lineRule="exact"/>
        <w:rPr>
          <w:sz w:val="24"/>
          <w:szCs w:val="24"/>
          <w:color w:val="auto"/>
        </w:rPr>
      </w:pPr>
    </w:p>
    <w:p>
      <w:pPr>
        <w:spacing w:after="0" w:line="373" w:lineRule="exact"/>
        <w:rPr>
          <w:sz w:val="24"/>
          <w:szCs w:val="24"/>
          <w:color w:val="auto"/>
        </w:rPr>
      </w:pPr>
    </w:p>
    <w:p>
      <w:pPr>
        <w:ind w:left="1447" w:hanging="1374"/>
        <w:spacing w:after="0"/>
        <w:tabs>
          <w:tab w:leader="none" w:pos="1447" w:val="left"/>
        </w:tabs>
        <w:numPr>
          <w:ilvl w:val="0"/>
          <w:numId w:val="3"/>
        </w:numPr>
        <w:rPr>
          <w:rFonts w:ascii="Arial" w:cs="Arial" w:eastAsia="Arial" w:hAnsi="Arial"/>
          <w:sz w:val="17"/>
          <w:szCs w:val="17"/>
          <w:color w:val="010202"/>
        </w:rPr>
      </w:pPr>
      <w:r>
        <w:rPr>
          <w:rFonts w:ascii="Arial" w:cs="Arial" w:eastAsia="Arial" w:hAnsi="Arial"/>
          <w:sz w:val="17"/>
          <w:szCs w:val="17"/>
          <w:color w:val="010202"/>
        </w:rPr>
        <w:t>Name of issuer of the securities held pursuant to the plan and the address of its principal executive office:</w:t>
      </w:r>
    </w:p>
    <w:p>
      <w:pPr>
        <w:spacing w:after="0" w:line="200" w:lineRule="exact"/>
        <w:rPr>
          <w:sz w:val="24"/>
          <w:szCs w:val="24"/>
          <w:color w:val="auto"/>
        </w:rPr>
      </w:pPr>
    </w:p>
    <w:p>
      <w:pPr>
        <w:spacing w:after="0" w:line="200" w:lineRule="exact"/>
        <w:rPr>
          <w:sz w:val="24"/>
          <w:szCs w:val="24"/>
          <w:color w:val="auto"/>
        </w:rPr>
      </w:pPr>
    </w:p>
    <w:p>
      <w:pPr>
        <w:spacing w:after="0" w:line="326" w:lineRule="exact"/>
        <w:rPr>
          <w:sz w:val="24"/>
          <w:szCs w:val="24"/>
          <w:color w:val="auto"/>
        </w:rPr>
      </w:pPr>
    </w:p>
    <w:p>
      <w:pPr>
        <w:jc w:val="center"/>
        <w:ind w:right="-866"/>
        <w:spacing w:after="0"/>
        <w:rPr>
          <w:sz w:val="20"/>
          <w:szCs w:val="20"/>
          <w:color w:val="auto"/>
        </w:rPr>
      </w:pPr>
      <w:r>
        <w:rPr>
          <w:rFonts w:ascii="Arial" w:cs="Arial" w:eastAsia="Arial" w:hAnsi="Arial"/>
          <w:sz w:val="22"/>
          <w:szCs w:val="22"/>
          <w:b w:val="1"/>
          <w:bCs w:val="1"/>
          <w:color w:val="010202"/>
        </w:rPr>
        <w:t>Science Applications International Corporation</w:t>
      </w:r>
    </w:p>
    <w:p>
      <w:pPr>
        <w:spacing w:after="0" w:line="26" w:lineRule="exact"/>
        <w:rPr>
          <w:sz w:val="24"/>
          <w:szCs w:val="24"/>
          <w:color w:val="auto"/>
        </w:rPr>
      </w:pPr>
    </w:p>
    <w:p>
      <w:pPr>
        <w:jc w:val="center"/>
        <w:ind w:right="-866"/>
        <w:spacing w:after="0"/>
        <w:rPr>
          <w:sz w:val="20"/>
          <w:szCs w:val="20"/>
          <w:color w:val="auto"/>
        </w:rPr>
      </w:pPr>
      <w:r>
        <w:rPr>
          <w:rFonts w:ascii="Arial" w:cs="Arial" w:eastAsia="Arial" w:hAnsi="Arial"/>
          <w:sz w:val="22"/>
          <w:szCs w:val="22"/>
          <w:b w:val="1"/>
          <w:bCs w:val="1"/>
          <w:color w:val="010202"/>
        </w:rPr>
        <w:t>12010 Sunset Hills Road</w:t>
      </w:r>
    </w:p>
    <w:p>
      <w:pPr>
        <w:spacing w:after="0" w:line="4" w:lineRule="exact"/>
        <w:rPr>
          <w:sz w:val="24"/>
          <w:szCs w:val="24"/>
          <w:color w:val="auto"/>
        </w:rPr>
      </w:pPr>
    </w:p>
    <w:p>
      <w:pPr>
        <w:jc w:val="center"/>
        <w:ind w:right="-866"/>
        <w:spacing w:after="0"/>
        <w:rPr>
          <w:sz w:val="20"/>
          <w:szCs w:val="20"/>
          <w:color w:val="auto"/>
        </w:rPr>
      </w:pPr>
      <w:r>
        <w:rPr>
          <w:rFonts w:ascii="Arial" w:cs="Arial" w:eastAsia="Arial" w:hAnsi="Arial"/>
          <w:sz w:val="22"/>
          <w:szCs w:val="22"/>
          <w:b w:val="1"/>
          <w:bCs w:val="1"/>
          <w:color w:val="010202"/>
        </w:rPr>
        <w:t>Reston, VA 20190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-154940</wp:posOffset>
            </wp:positionH>
            <wp:positionV relativeFrom="paragraph">
              <wp:posOffset>1365250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572135</wp:posOffset>
            </wp:positionV>
            <wp:extent cx="68065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06565"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537845</wp:posOffset>
            </wp:positionV>
            <wp:extent cx="68065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06565" cy="8890"/>
                    </a:xfrm>
                    <a:prstGeom prst="rect">
                      <a:avLst/>
                    </a:prstGeom>
                    <a:noFill/>
                  </pic:spPr>
                </pic:pic>
              </a:graphicData>
            </a:graphic>
          </wp:anchor>
        </w:drawing>
      </w:r>
    </w:p>
    <w:p>
      <w:pPr>
        <w:sectPr>
          <w:pgSz w:w="11900" w:h="16838" w:orient="portrait"/>
          <w:cols w:equalWidth="0" w:num="1">
            <w:col w:w="9927"/>
          </w:cols>
          <w:pgMar w:left="553" w:top="1440" w:right="141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2B4C9B"/>
        </w:rPr>
        <w:t>SCIENCE APPLICATIONS INTERNATIONAL CORPORATION RETIREMENT PLAN</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B4C9B"/>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80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b w:val="1"/>
                <w:bCs w:val="1"/>
                <w:color w:val="auto"/>
              </w:rPr>
              <w:t>Page</w:t>
            </w:r>
          </w:p>
        </w:tc>
      </w:tr>
      <w:tr>
        <w:trPr>
          <w:trHeight w:val="443"/>
        </w:trPr>
        <w:tc>
          <w:tcPr>
            <w:tcW w:w="5760" w:type="dxa"/>
            <w:vAlign w:val="bottom"/>
            <w:tcBorders>
              <w:bottom w:val="single" w:sz="8" w:color="2B4C9B"/>
            </w:tcBorders>
            <w:gridSpan w:val="7"/>
          </w:tcPr>
          <w:p>
            <w:pPr>
              <w:spacing w:after="0"/>
              <w:rPr>
                <w:sz w:val="20"/>
                <w:szCs w:val="20"/>
                <w:color w:val="auto"/>
              </w:rPr>
            </w:pPr>
            <w:r>
              <w:rPr>
                <w:rFonts w:ascii="Arial" w:cs="Arial" w:eastAsia="Arial" w:hAnsi="Arial"/>
                <w:sz w:val="17"/>
                <w:szCs w:val="17"/>
                <w:color w:val="2B4C9B"/>
              </w:rPr>
              <w:t>REPORT OF INDEPENDENT REGISTERED PUBLIC ACCOUNTING FIRM</w:t>
            </w:r>
          </w:p>
        </w:tc>
        <w:tc>
          <w:tcPr>
            <w:tcW w:w="4660" w:type="dxa"/>
            <w:vAlign w:val="bottom"/>
            <w:gridSpan w:val="2"/>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533"/>
        </w:trPr>
        <w:tc>
          <w:tcPr>
            <w:tcW w:w="10420" w:type="dxa"/>
            <w:vAlign w:val="bottom"/>
            <w:gridSpan w:val="9"/>
          </w:tcPr>
          <w:p>
            <w:pPr>
              <w:spacing w:after="0"/>
              <w:rPr>
                <w:sz w:val="20"/>
                <w:szCs w:val="20"/>
                <w:color w:val="auto"/>
              </w:rPr>
            </w:pPr>
            <w:r>
              <w:rPr>
                <w:rFonts w:ascii="Arial" w:cs="Arial" w:eastAsia="Arial" w:hAnsi="Arial"/>
                <w:sz w:val="17"/>
                <w:szCs w:val="17"/>
                <w:color w:val="auto"/>
              </w:rPr>
              <w:t>FINANCIAL STATEMENTS</w:t>
            </w:r>
          </w:p>
        </w:tc>
        <w:tc>
          <w:tcPr>
            <w:tcW w:w="800" w:type="dxa"/>
            <w:vAlign w:val="bottom"/>
          </w:tcPr>
          <w:p>
            <w:pPr>
              <w:spacing w:after="0"/>
              <w:rPr>
                <w:sz w:val="24"/>
                <w:szCs w:val="24"/>
                <w:color w:val="auto"/>
              </w:rPr>
            </w:pPr>
          </w:p>
        </w:tc>
      </w:tr>
      <w:tr>
        <w:trPr>
          <w:trHeight w:val="216"/>
        </w:trPr>
        <w:tc>
          <w:tcPr>
            <w:tcW w:w="500" w:type="dxa"/>
            <w:vAlign w:val="bottom"/>
          </w:tcPr>
          <w:p>
            <w:pPr>
              <w:spacing w:after="0"/>
              <w:rPr>
                <w:sz w:val="18"/>
                <w:szCs w:val="18"/>
                <w:color w:val="auto"/>
              </w:rPr>
            </w:pPr>
          </w:p>
        </w:tc>
        <w:tc>
          <w:tcPr>
            <w:tcW w:w="9920" w:type="dxa"/>
            <w:vAlign w:val="bottom"/>
            <w:gridSpan w:val="8"/>
          </w:tcPr>
          <w:p>
            <w:pPr>
              <w:spacing w:after="0"/>
              <w:rPr>
                <w:sz w:val="20"/>
                <w:szCs w:val="20"/>
                <w:color w:val="auto"/>
              </w:rPr>
            </w:pPr>
            <w:r>
              <w:rPr>
                <w:rFonts w:ascii="Arial" w:cs="Arial" w:eastAsia="Arial" w:hAnsi="Arial"/>
                <w:sz w:val="17"/>
                <w:szCs w:val="17"/>
                <w:color w:val="2B4C9B"/>
              </w:rPr>
              <w:t>Statements of Net Assets Available for Benefits</w:t>
            </w:r>
          </w:p>
        </w:tc>
        <w:tc>
          <w:tcPr>
            <w:tcW w:w="800" w:type="dxa"/>
            <w:vAlign w:val="bottom"/>
          </w:tcPr>
          <w:p>
            <w:pPr>
              <w:jc w:val="right"/>
              <w:spacing w:after="0"/>
              <w:rPr>
                <w:sz w:val="20"/>
                <w:szCs w:val="20"/>
                <w:color w:val="auto"/>
              </w:rPr>
            </w:pPr>
            <w:r>
              <w:rPr>
                <w:rFonts w:ascii="Arial" w:cs="Arial" w:eastAsia="Arial" w:hAnsi="Arial"/>
                <w:sz w:val="17"/>
                <w:szCs w:val="17"/>
                <w:color w:val="auto"/>
              </w:rPr>
              <w:t>2</w:t>
            </w:r>
          </w:p>
        </w:tc>
      </w:tr>
      <w:tr>
        <w:trPr>
          <w:trHeight w:val="20"/>
        </w:trPr>
        <w:tc>
          <w:tcPr>
            <w:tcW w:w="500" w:type="dxa"/>
            <w:vAlign w:val="bottom"/>
          </w:tcPr>
          <w:p>
            <w:pPr>
              <w:spacing w:after="0" w:line="20" w:lineRule="exact"/>
              <w:rPr>
                <w:sz w:val="1"/>
                <w:szCs w:val="1"/>
                <w:color w:val="auto"/>
              </w:rPr>
            </w:pPr>
          </w:p>
        </w:tc>
        <w:tc>
          <w:tcPr>
            <w:tcW w:w="500" w:type="dxa"/>
            <w:vAlign w:val="bottom"/>
            <w:shd w:val="clear" w:color="auto" w:fill="2B4C9B"/>
          </w:tcPr>
          <w:p>
            <w:pPr>
              <w:spacing w:after="0" w:line="20" w:lineRule="exact"/>
              <w:rPr>
                <w:sz w:val="1"/>
                <w:szCs w:val="1"/>
                <w:color w:val="auto"/>
              </w:rPr>
            </w:pPr>
          </w:p>
        </w:tc>
        <w:tc>
          <w:tcPr>
            <w:tcW w:w="240" w:type="dxa"/>
            <w:vAlign w:val="bottom"/>
            <w:shd w:val="clear" w:color="auto" w:fill="2B4C9B"/>
          </w:tcPr>
          <w:p>
            <w:pPr>
              <w:spacing w:after="0" w:line="20" w:lineRule="exact"/>
              <w:rPr>
                <w:sz w:val="1"/>
                <w:szCs w:val="1"/>
                <w:color w:val="auto"/>
              </w:rPr>
            </w:pPr>
          </w:p>
        </w:tc>
        <w:tc>
          <w:tcPr>
            <w:tcW w:w="1540" w:type="dxa"/>
            <w:vAlign w:val="bottom"/>
            <w:shd w:val="clear" w:color="auto" w:fill="2B4C9B"/>
          </w:tcPr>
          <w:p>
            <w:pPr>
              <w:spacing w:after="0" w:line="20" w:lineRule="exact"/>
              <w:rPr>
                <w:sz w:val="1"/>
                <w:szCs w:val="1"/>
                <w:color w:val="auto"/>
              </w:rPr>
            </w:pPr>
          </w:p>
        </w:tc>
        <w:tc>
          <w:tcPr>
            <w:tcW w:w="1280" w:type="dxa"/>
            <w:vAlign w:val="bottom"/>
            <w:shd w:val="clear" w:color="auto" w:fill="2B4C9B"/>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63"/>
        </w:trPr>
        <w:tc>
          <w:tcPr>
            <w:tcW w:w="500" w:type="dxa"/>
            <w:vAlign w:val="bottom"/>
          </w:tcPr>
          <w:p>
            <w:pPr>
              <w:spacing w:after="0"/>
              <w:rPr>
                <w:sz w:val="22"/>
                <w:szCs w:val="22"/>
                <w:color w:val="auto"/>
              </w:rPr>
            </w:pPr>
          </w:p>
        </w:tc>
        <w:tc>
          <w:tcPr>
            <w:tcW w:w="9920" w:type="dxa"/>
            <w:vAlign w:val="bottom"/>
            <w:gridSpan w:val="8"/>
          </w:tcPr>
          <w:p>
            <w:pPr>
              <w:spacing w:after="0"/>
              <w:rPr>
                <w:sz w:val="20"/>
                <w:szCs w:val="20"/>
                <w:color w:val="auto"/>
              </w:rPr>
            </w:pPr>
            <w:r>
              <w:rPr>
                <w:rFonts w:ascii="Arial" w:cs="Arial" w:eastAsia="Arial" w:hAnsi="Arial"/>
                <w:sz w:val="17"/>
                <w:szCs w:val="17"/>
                <w:color w:val="2B4C9B"/>
              </w:rPr>
              <w:t>Statements of Changes in Net Assets Available for Benefits</w:t>
            </w:r>
          </w:p>
        </w:tc>
        <w:tc>
          <w:tcPr>
            <w:tcW w:w="80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263"/>
        </w:trPr>
        <w:tc>
          <w:tcPr>
            <w:tcW w:w="500" w:type="dxa"/>
            <w:vAlign w:val="bottom"/>
          </w:tcPr>
          <w:p>
            <w:pPr>
              <w:spacing w:after="0"/>
              <w:rPr>
                <w:sz w:val="22"/>
                <w:szCs w:val="22"/>
                <w:color w:val="auto"/>
              </w:rPr>
            </w:pPr>
          </w:p>
        </w:tc>
        <w:tc>
          <w:tcPr>
            <w:tcW w:w="2280" w:type="dxa"/>
            <w:vAlign w:val="bottom"/>
            <w:tcBorders>
              <w:top w:val="single" w:sz="8" w:color="2B4C9B"/>
              <w:bottom w:val="single" w:sz="8" w:color="2B4C9B"/>
            </w:tcBorders>
            <w:gridSpan w:val="3"/>
          </w:tcPr>
          <w:p>
            <w:pPr>
              <w:spacing w:after="0"/>
              <w:rPr>
                <w:sz w:val="20"/>
                <w:szCs w:val="20"/>
                <w:color w:val="auto"/>
              </w:rPr>
            </w:pPr>
            <w:r>
              <w:rPr>
                <w:rFonts w:ascii="Arial" w:cs="Arial" w:eastAsia="Arial" w:hAnsi="Arial"/>
                <w:sz w:val="17"/>
                <w:szCs w:val="17"/>
                <w:color w:val="2B4C9B"/>
                <w:w w:val="99"/>
              </w:rPr>
              <w:t>Notes to Financial Statements</w:t>
            </w:r>
          </w:p>
        </w:tc>
        <w:tc>
          <w:tcPr>
            <w:tcW w:w="2200" w:type="dxa"/>
            <w:vAlign w:val="bottom"/>
            <w:tcBorders>
              <w:top w:val="single" w:sz="8" w:color="2B4C9B"/>
            </w:tcBorders>
            <w:gridSpan w:val="2"/>
          </w:tcPr>
          <w:p>
            <w:pPr>
              <w:spacing w:after="0"/>
              <w:rPr>
                <w:sz w:val="22"/>
                <w:szCs w:val="22"/>
                <w:color w:val="auto"/>
              </w:rPr>
            </w:pPr>
          </w:p>
        </w:tc>
        <w:tc>
          <w:tcPr>
            <w:tcW w:w="5440" w:type="dxa"/>
            <w:vAlign w:val="bottom"/>
            <w:gridSpan w:val="3"/>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4</w:t>
            </w:r>
          </w:p>
        </w:tc>
      </w:tr>
      <w:tr>
        <w:trPr>
          <w:trHeight w:val="534"/>
        </w:trPr>
        <w:tc>
          <w:tcPr>
            <w:tcW w:w="10420" w:type="dxa"/>
            <w:vAlign w:val="bottom"/>
            <w:gridSpan w:val="9"/>
          </w:tcPr>
          <w:p>
            <w:pPr>
              <w:spacing w:after="0"/>
              <w:rPr>
                <w:sz w:val="20"/>
                <w:szCs w:val="20"/>
                <w:color w:val="auto"/>
              </w:rPr>
            </w:pPr>
            <w:r>
              <w:rPr>
                <w:rFonts w:ascii="Arial" w:cs="Arial" w:eastAsia="Arial" w:hAnsi="Arial"/>
                <w:sz w:val="17"/>
                <w:szCs w:val="17"/>
                <w:color w:val="auto"/>
              </w:rPr>
              <w:t>SUPPLEMENTAL SCHEDULE</w:t>
            </w:r>
          </w:p>
        </w:tc>
        <w:tc>
          <w:tcPr>
            <w:tcW w:w="800" w:type="dxa"/>
            <w:vAlign w:val="bottom"/>
          </w:tcPr>
          <w:p>
            <w:pPr>
              <w:spacing w:after="0"/>
              <w:rPr>
                <w:sz w:val="24"/>
                <w:szCs w:val="24"/>
                <w:color w:val="auto"/>
              </w:rPr>
            </w:pPr>
          </w:p>
        </w:tc>
      </w:tr>
      <w:tr>
        <w:trPr>
          <w:trHeight w:val="216"/>
        </w:trPr>
        <w:tc>
          <w:tcPr>
            <w:tcW w:w="500" w:type="dxa"/>
            <w:vAlign w:val="bottom"/>
          </w:tcPr>
          <w:p>
            <w:pPr>
              <w:spacing w:after="0"/>
              <w:rPr>
                <w:sz w:val="18"/>
                <w:szCs w:val="18"/>
                <w:color w:val="auto"/>
              </w:rPr>
            </w:pPr>
          </w:p>
        </w:tc>
        <w:tc>
          <w:tcPr>
            <w:tcW w:w="9920" w:type="dxa"/>
            <w:vAlign w:val="bottom"/>
            <w:gridSpan w:val="8"/>
          </w:tcPr>
          <w:p>
            <w:pPr>
              <w:spacing w:after="0"/>
              <w:rPr>
                <w:sz w:val="20"/>
                <w:szCs w:val="20"/>
                <w:color w:val="auto"/>
              </w:rPr>
            </w:pPr>
            <w:r>
              <w:rPr>
                <w:rFonts w:ascii="Arial" w:cs="Arial" w:eastAsia="Arial" w:hAnsi="Arial"/>
                <w:sz w:val="17"/>
                <w:szCs w:val="17"/>
                <w:color w:val="2B4C9B"/>
              </w:rPr>
              <w:t>Form 5500, Schedule H, Part IV, Line 4i—Schedule of Assets (Held at End of Year)</w:t>
            </w:r>
          </w:p>
        </w:tc>
        <w:tc>
          <w:tcPr>
            <w:tcW w:w="800" w:type="dxa"/>
            <w:vAlign w:val="bottom"/>
          </w:tcPr>
          <w:p>
            <w:pPr>
              <w:jc w:val="right"/>
              <w:spacing w:after="0"/>
              <w:rPr>
                <w:sz w:val="20"/>
                <w:szCs w:val="20"/>
                <w:color w:val="auto"/>
              </w:rPr>
            </w:pPr>
            <w:r>
              <w:rPr>
                <w:rFonts w:ascii="Arial" w:cs="Arial" w:eastAsia="Arial" w:hAnsi="Arial"/>
                <w:sz w:val="17"/>
                <w:szCs w:val="17"/>
                <w:color w:val="auto"/>
              </w:rPr>
              <w:t>8</w:t>
            </w:r>
          </w:p>
        </w:tc>
      </w:tr>
      <w:tr>
        <w:trPr>
          <w:trHeight w:val="20"/>
        </w:trPr>
        <w:tc>
          <w:tcPr>
            <w:tcW w:w="500" w:type="dxa"/>
            <w:vAlign w:val="bottom"/>
          </w:tcPr>
          <w:p>
            <w:pPr>
              <w:spacing w:after="0" w:line="20" w:lineRule="exact"/>
              <w:rPr>
                <w:sz w:val="1"/>
                <w:szCs w:val="1"/>
                <w:color w:val="auto"/>
              </w:rPr>
            </w:pPr>
          </w:p>
        </w:tc>
        <w:tc>
          <w:tcPr>
            <w:tcW w:w="500" w:type="dxa"/>
            <w:vAlign w:val="bottom"/>
            <w:shd w:val="clear" w:color="auto" w:fill="2B4C9B"/>
          </w:tcPr>
          <w:p>
            <w:pPr>
              <w:spacing w:after="0" w:line="20" w:lineRule="exact"/>
              <w:rPr>
                <w:sz w:val="1"/>
                <w:szCs w:val="1"/>
                <w:color w:val="auto"/>
              </w:rPr>
            </w:pPr>
          </w:p>
        </w:tc>
        <w:tc>
          <w:tcPr>
            <w:tcW w:w="240" w:type="dxa"/>
            <w:vAlign w:val="bottom"/>
            <w:shd w:val="clear" w:color="auto" w:fill="2B4C9B"/>
          </w:tcPr>
          <w:p>
            <w:pPr>
              <w:spacing w:after="0" w:line="20" w:lineRule="exact"/>
              <w:rPr>
                <w:sz w:val="1"/>
                <w:szCs w:val="1"/>
                <w:color w:val="auto"/>
              </w:rPr>
            </w:pPr>
          </w:p>
        </w:tc>
        <w:tc>
          <w:tcPr>
            <w:tcW w:w="5520" w:type="dxa"/>
            <w:vAlign w:val="bottom"/>
            <w:gridSpan w:val="5"/>
            <w:shd w:val="clear" w:color="auto" w:fill="2B4C9B"/>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520"/>
        </w:trPr>
        <w:tc>
          <w:tcPr>
            <w:tcW w:w="1000" w:type="dxa"/>
            <w:vAlign w:val="bottom"/>
            <w:tcBorders>
              <w:bottom w:val="single" w:sz="8" w:color="2B4C9B"/>
            </w:tcBorders>
            <w:gridSpan w:val="2"/>
          </w:tcPr>
          <w:p>
            <w:pPr>
              <w:spacing w:after="0"/>
              <w:rPr>
                <w:sz w:val="20"/>
                <w:szCs w:val="20"/>
                <w:color w:val="auto"/>
              </w:rPr>
            </w:pPr>
            <w:r>
              <w:rPr>
                <w:rFonts w:ascii="Arial" w:cs="Arial" w:eastAsia="Arial" w:hAnsi="Arial"/>
                <w:sz w:val="17"/>
                <w:szCs w:val="17"/>
                <w:color w:val="2B4C9B"/>
                <w:w w:val="98"/>
              </w:rPr>
              <w:t>SIGNATURE</w:t>
            </w:r>
          </w:p>
        </w:tc>
        <w:tc>
          <w:tcPr>
            <w:tcW w:w="9420" w:type="dxa"/>
            <w:vAlign w:val="bottom"/>
            <w:gridSpan w:val="7"/>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9</w:t>
            </w:r>
          </w:p>
        </w:tc>
      </w:tr>
      <w:tr>
        <w:trPr>
          <w:trHeight w:val="520"/>
        </w:trPr>
        <w:tc>
          <w:tcPr>
            <w:tcW w:w="10420" w:type="dxa"/>
            <w:vAlign w:val="bottom"/>
            <w:gridSpan w:val="9"/>
          </w:tcPr>
          <w:p>
            <w:pPr>
              <w:spacing w:after="0"/>
              <w:rPr>
                <w:sz w:val="20"/>
                <w:szCs w:val="20"/>
                <w:color w:val="auto"/>
              </w:rPr>
            </w:pPr>
            <w:r>
              <w:rPr>
                <w:rFonts w:ascii="Arial" w:cs="Arial" w:eastAsia="Arial" w:hAnsi="Arial"/>
                <w:sz w:val="17"/>
                <w:szCs w:val="17"/>
                <w:color w:val="2B4C9B"/>
              </w:rPr>
              <w:t>EXHIBIT INDEX</w:t>
            </w:r>
          </w:p>
        </w:tc>
        <w:tc>
          <w:tcPr>
            <w:tcW w:w="800" w:type="dxa"/>
            <w:vAlign w:val="bottom"/>
          </w:tcPr>
          <w:p>
            <w:pPr>
              <w:jc w:val="right"/>
              <w:spacing w:after="0"/>
              <w:rPr>
                <w:sz w:val="20"/>
                <w:szCs w:val="20"/>
                <w:color w:val="auto"/>
              </w:rPr>
            </w:pPr>
            <w:r>
              <w:rPr>
                <w:rFonts w:ascii="Arial" w:cs="Arial" w:eastAsia="Arial" w:hAnsi="Arial"/>
                <w:sz w:val="17"/>
                <w:szCs w:val="17"/>
                <w:color w:val="auto"/>
              </w:rPr>
              <w:t>10</w:t>
            </w:r>
          </w:p>
        </w:tc>
      </w:tr>
      <w:tr>
        <w:trPr>
          <w:trHeight w:val="20"/>
        </w:trPr>
        <w:tc>
          <w:tcPr>
            <w:tcW w:w="500" w:type="dxa"/>
            <w:vAlign w:val="bottom"/>
            <w:shd w:val="clear" w:color="auto" w:fill="2B4C9B"/>
          </w:tcPr>
          <w:p>
            <w:pPr>
              <w:spacing w:after="0" w:line="20" w:lineRule="exact"/>
              <w:rPr>
                <w:sz w:val="1"/>
                <w:szCs w:val="1"/>
                <w:color w:val="auto"/>
              </w:rPr>
            </w:pPr>
          </w:p>
        </w:tc>
        <w:tc>
          <w:tcPr>
            <w:tcW w:w="500" w:type="dxa"/>
            <w:vAlign w:val="bottom"/>
            <w:shd w:val="clear" w:color="auto" w:fill="2B4C9B"/>
          </w:tcPr>
          <w:p>
            <w:pPr>
              <w:spacing w:after="0" w:line="20" w:lineRule="exact"/>
              <w:rPr>
                <w:sz w:val="1"/>
                <w:szCs w:val="1"/>
                <w:color w:val="auto"/>
              </w:rPr>
            </w:pPr>
          </w:p>
        </w:tc>
        <w:tc>
          <w:tcPr>
            <w:tcW w:w="240" w:type="dxa"/>
            <w:vAlign w:val="bottom"/>
            <w:shd w:val="clear" w:color="auto" w:fill="2B4C9B"/>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bl>
    <w:p>
      <w:pPr>
        <w:spacing w:after="0" w:line="369" w:lineRule="exact"/>
        <w:rPr>
          <w:sz w:val="20"/>
          <w:szCs w:val="20"/>
          <w:color w:val="auto"/>
        </w:rPr>
      </w:pPr>
    </w:p>
    <w:p>
      <w:pPr>
        <w:ind w:right="700"/>
        <w:spacing w:after="0" w:line="301" w:lineRule="auto"/>
        <w:rPr>
          <w:sz w:val="20"/>
          <w:szCs w:val="20"/>
          <w:color w:val="auto"/>
        </w:rPr>
      </w:pPr>
      <w:r>
        <w:rPr>
          <w:rFonts w:ascii="Arial" w:cs="Arial" w:eastAsia="Arial" w:hAnsi="Arial"/>
          <w:sz w:val="17"/>
          <w:szCs w:val="17"/>
          <w:color w:val="010202"/>
        </w:rPr>
        <w:t>NOTE: All other schedules required by Section 29 CFR 2520.103-10 of the Department of Labor’s Rules and Regulations for Reporting and Disclosure under the Employee Retirement Income Security Act of 1974 have been omitted because they are 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1001395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line="45" w:lineRule="exact"/>
        <w:rPr>
          <w:sz w:val="20"/>
          <w:szCs w:val="20"/>
          <w:color w:val="auto"/>
        </w:rPr>
      </w:pPr>
    </w:p>
    <w:p>
      <w:pPr>
        <w:ind w:left="3140"/>
        <w:spacing w:after="0"/>
        <w:rPr>
          <w:sz w:val="20"/>
          <w:szCs w:val="20"/>
          <w:color w:val="auto"/>
        </w:rPr>
      </w:pPr>
      <w:r>
        <w:rPr>
          <w:rFonts w:ascii="Arial" w:cs="Arial" w:eastAsia="Arial" w:hAnsi="Arial"/>
          <w:sz w:val="18"/>
          <w:szCs w:val="18"/>
          <w:b w:val="1"/>
          <w:bCs w:val="1"/>
          <w:u w:val="single" w:color="auto"/>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Plan Administrator and Plan Participants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Science Applications International Corporation Retirement Plan</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40" w:lineRule="exact"/>
        <w:rPr>
          <w:sz w:val="20"/>
          <w:szCs w:val="20"/>
          <w:color w:val="auto"/>
        </w:rPr>
      </w:pPr>
    </w:p>
    <w:p>
      <w:pPr>
        <w:ind w:right="280"/>
        <w:spacing w:after="0" w:line="235" w:lineRule="auto"/>
        <w:rPr>
          <w:sz w:val="20"/>
          <w:szCs w:val="20"/>
          <w:color w:val="auto"/>
        </w:rPr>
      </w:pPr>
      <w:r>
        <w:rPr>
          <w:rFonts w:ascii="Arial" w:cs="Arial" w:eastAsia="Arial" w:hAnsi="Arial"/>
          <w:sz w:val="18"/>
          <w:szCs w:val="18"/>
          <w:color w:val="auto"/>
        </w:rPr>
        <w:t>We have audited the accompanying statements of net assets available for benefits of Science Applications International Corporation Retirement Plan (the “Plan”) as of December 31, 2025 and 2024, the related statements of changes in net assets available for benefits for</w:t>
      </w:r>
    </w:p>
    <w:p>
      <w:pPr>
        <w:spacing w:after="0" w:line="228" w:lineRule="auto"/>
        <w:rPr>
          <w:sz w:val="20"/>
          <w:szCs w:val="20"/>
          <w:color w:val="auto"/>
        </w:rPr>
      </w:pPr>
      <w:r>
        <w:rPr>
          <w:rFonts w:ascii="Arial" w:cs="Arial" w:eastAsia="Arial" w:hAnsi="Arial"/>
          <w:sz w:val="18"/>
          <w:szCs w:val="18"/>
          <w:color w:val="auto"/>
        </w:rPr>
        <w:t>the years then ended, and the related notes (collectively referred to as the “financial statements”). In our opinion, the financial statements present fairly, in all material respects, the net assets available for benefits of the Plan as of December 31, 2025 and 2024, and the changes in net assets available for benefits for the years then ended in conformity with accounting principles generally accepted in the United States of America.</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40" w:lineRule="exact"/>
        <w:rPr>
          <w:sz w:val="20"/>
          <w:szCs w:val="20"/>
          <w:color w:val="auto"/>
        </w:rPr>
      </w:pPr>
    </w:p>
    <w:p>
      <w:pPr>
        <w:ind w:right="20"/>
        <w:spacing w:after="0" w:line="227" w:lineRule="auto"/>
        <w:rPr>
          <w:sz w:val="20"/>
          <w:szCs w:val="20"/>
          <w:color w:val="auto"/>
        </w:rPr>
      </w:pPr>
      <w:r>
        <w:rPr>
          <w:rFonts w:ascii="Arial" w:cs="Arial" w:eastAsia="Arial" w:hAnsi="Arial"/>
          <w:sz w:val="18"/>
          <w:szCs w:val="18"/>
          <w:color w:val="auto"/>
        </w:rPr>
        <w:t>These financial statements are the responsibility of the Plan’s management. Our responsibility is to express an opinion on the Plan’s financial statements based on our audits.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and Exchange Commission and the PCAOB.</w:t>
      </w:r>
    </w:p>
    <w:p>
      <w:pPr>
        <w:spacing w:after="0" w:line="1" w:lineRule="exact"/>
        <w:rPr>
          <w:sz w:val="20"/>
          <w:szCs w:val="20"/>
          <w:color w:val="auto"/>
        </w:rPr>
      </w:pPr>
    </w:p>
    <w:p>
      <w:pPr>
        <w:ind w:right="80"/>
        <w:spacing w:after="0" w:line="223"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Plan is not required to have, nor were we engaged to perform, an audit of its internal control over financial reporting. As part of our audits we are required to obtain an understanding of internal control over financial reporting but not for the purpose of expressing an opinion on the</w:t>
      </w:r>
    </w:p>
    <w:p>
      <w:pPr>
        <w:spacing w:after="0" w:line="219" w:lineRule="auto"/>
        <w:rPr>
          <w:sz w:val="20"/>
          <w:szCs w:val="20"/>
          <w:color w:val="auto"/>
        </w:rPr>
      </w:pPr>
      <w:r>
        <w:rPr>
          <w:rFonts w:ascii="Arial" w:cs="Arial" w:eastAsia="Arial" w:hAnsi="Arial"/>
          <w:sz w:val="18"/>
          <w:szCs w:val="18"/>
          <w:color w:val="auto"/>
        </w:rPr>
        <w:t>effectiveness of the Plan’s internal control over financial reporting. Accordingly, we express no such opinion.</w:t>
      </w:r>
    </w:p>
    <w:p>
      <w:pPr>
        <w:jc w:val="both"/>
        <w:ind w:right="160"/>
        <w:spacing w:after="0" w:line="224" w:lineRule="auto"/>
        <w:rPr>
          <w:sz w:val="20"/>
          <w:szCs w:val="20"/>
          <w:color w:val="auto"/>
        </w:rPr>
      </w:pPr>
      <w:r>
        <w:rPr>
          <w:rFonts w:ascii="Arial" w:cs="Arial" w:eastAsia="Arial" w:hAnsi="Arial"/>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w:t>
      </w:r>
    </w:p>
    <w:p>
      <w:pPr>
        <w:spacing w:after="0" w:line="1" w:lineRule="exact"/>
        <w:rPr>
          <w:sz w:val="20"/>
          <w:szCs w:val="20"/>
          <w:color w:val="auto"/>
        </w:rPr>
      </w:pPr>
    </w:p>
    <w:p>
      <w:pPr>
        <w:ind w:right="620"/>
        <w:spacing w:after="0" w:line="237" w:lineRule="auto"/>
        <w:rPr>
          <w:sz w:val="20"/>
          <w:szCs w:val="20"/>
          <w:color w:val="auto"/>
        </w:rPr>
      </w:pPr>
      <w:r>
        <w:rPr>
          <w:rFonts w:ascii="Arial" w:cs="Arial" w:eastAsia="Arial" w:hAnsi="Arial"/>
          <w:sz w:val="18"/>
          <w:szCs w:val="18"/>
          <w:color w:val="auto"/>
        </w:rPr>
        <w:t>estimates made by management, as well as evaluating the overall presentation of the financial statements. We believe that our audits provide a reasonable basis for our opinion.</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information</w:t>
      </w:r>
    </w:p>
    <w:p>
      <w:pPr>
        <w:spacing w:after="0" w:line="40"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The schedule of assets (held at end of year) as of December 31, 2025 (“supplemental information”) has been subjected to audit procedures performed in conjunction with the audit of the Plan’s financial statements. The supplemental information is the responsibility of the Plan’s management. Our audit procedures included determining whether the supplemental information reconciles to the financial statements or the underlying accounting and other records, as applicable, and performing procedures to test the completeness and accuracy of the information presented in the supplemental information. In forming our opinion on the supplemental information, we evaluated whether the supplemental information, including its form and content, is presented in conformity with the Department of Labor’s Rules and Regulations for Reporting</w:t>
      </w:r>
    </w:p>
    <w:p>
      <w:pPr>
        <w:spacing w:after="0" w:line="3"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and Disclosure under the Employee Retirement Income Security Act of 1974. In our opinion, the supplemental information is fairly stated, in all material respects, in relation to the financial statements as a whole.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Plan’s auditor since 2024.</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Tulsa, Oklahoma</w:t>
      </w:r>
    </w:p>
    <w:p>
      <w:pPr>
        <w:spacing w:after="0"/>
        <w:rPr>
          <w:sz w:val="20"/>
          <w:szCs w:val="20"/>
          <w:color w:val="auto"/>
        </w:rPr>
      </w:pPr>
      <w:r>
        <w:rPr>
          <w:rFonts w:ascii="Arial" w:cs="Arial" w:eastAsia="Arial" w:hAnsi="Arial"/>
          <w:sz w:val="18"/>
          <w:szCs w:val="18"/>
          <w:color w:val="auto"/>
        </w:rPr>
        <w:t>June 17,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2B4C9B"/>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jc w:val="center"/>
        <w:ind w:right="20"/>
        <w:spacing w:after="0"/>
        <w:rPr>
          <w:sz w:val="20"/>
          <w:szCs w:val="20"/>
          <w:color w:val="auto"/>
        </w:rPr>
      </w:pPr>
      <w:r>
        <w:rPr>
          <w:rFonts w:ascii="Arial" w:cs="Arial" w:eastAsia="Arial" w:hAnsi="Arial"/>
          <w:sz w:val="18"/>
          <w:szCs w:val="18"/>
          <w:b w:val="1"/>
          <w:bCs w:val="1"/>
          <w:color w:val="2B4C9B"/>
        </w:rPr>
        <w:t>SCIENCE APPLICATIONS INTERNATIONAL CORPORATION RETIREMENT PLAN</w:t>
      </w:r>
    </w:p>
    <w:p>
      <w:pPr>
        <w:spacing w:after="0" w:line="2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2B4C9B"/>
        </w:rPr>
        <w:t>STATEMENTS OF NET ASSETS AVAILABLE FOR BENEFITS</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54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1320" w:type="dxa"/>
            <w:vAlign w:val="bottom"/>
          </w:tcPr>
          <w:p>
            <w:pPr>
              <w:jc w:val="right"/>
              <w:ind w:right="15"/>
              <w:spacing w:after="0"/>
              <w:rPr>
                <w:sz w:val="20"/>
                <w:szCs w:val="20"/>
                <w:color w:val="auto"/>
              </w:rPr>
            </w:pPr>
            <w:r>
              <w:rPr>
                <w:rFonts w:ascii="Arial" w:cs="Arial" w:eastAsia="Arial" w:hAnsi="Arial"/>
                <w:sz w:val="14"/>
                <w:szCs w:val="14"/>
                <w:b w:val="1"/>
                <w:bCs w:val="1"/>
                <w:color w:val="2B4C9B"/>
              </w:rPr>
              <w:t>December 31,</w:t>
            </w:r>
          </w:p>
        </w:tc>
        <w:tc>
          <w:tcPr>
            <w:tcW w:w="6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December 31,</w:t>
            </w:r>
          </w:p>
        </w:tc>
      </w:tr>
      <w:tr>
        <w:trPr>
          <w:trHeight w:val="203"/>
        </w:trPr>
        <w:tc>
          <w:tcPr>
            <w:tcW w:w="5540" w:type="dxa"/>
            <w:vAlign w:val="bottom"/>
            <w:tcBorders>
              <w:bottom w:val="single" w:sz="8" w:color="2B4C9B"/>
            </w:tcBorders>
          </w:tcPr>
          <w:p>
            <w:pPr>
              <w:spacing w:after="0"/>
              <w:rPr>
                <w:sz w:val="17"/>
                <w:szCs w:val="17"/>
                <w:color w:val="auto"/>
              </w:rPr>
            </w:pPr>
          </w:p>
        </w:tc>
        <w:tc>
          <w:tcPr>
            <w:tcW w:w="2440" w:type="dxa"/>
            <w:vAlign w:val="bottom"/>
            <w:tcBorders>
              <w:bottom w:val="single" w:sz="8" w:color="2B4C9B"/>
            </w:tcBorders>
          </w:tcPr>
          <w:p>
            <w:pPr>
              <w:spacing w:after="0"/>
              <w:rPr>
                <w:sz w:val="17"/>
                <w:szCs w:val="17"/>
                <w:color w:val="auto"/>
              </w:rPr>
            </w:pPr>
          </w:p>
        </w:tc>
        <w:tc>
          <w:tcPr>
            <w:tcW w:w="1320" w:type="dxa"/>
            <w:vAlign w:val="bottom"/>
            <w:tcBorders>
              <w:bottom w:val="single" w:sz="8" w:color="2B4C9B"/>
            </w:tcBorders>
          </w:tcPr>
          <w:p>
            <w:pPr>
              <w:jc w:val="right"/>
              <w:ind w:right="15"/>
              <w:spacing w:after="0"/>
              <w:rPr>
                <w:sz w:val="20"/>
                <w:szCs w:val="20"/>
                <w:color w:val="auto"/>
              </w:rPr>
            </w:pPr>
            <w:r>
              <w:rPr>
                <w:rFonts w:ascii="Arial" w:cs="Arial" w:eastAsia="Arial" w:hAnsi="Arial"/>
                <w:sz w:val="14"/>
                <w:szCs w:val="14"/>
                <w:b w:val="1"/>
                <w:bCs w:val="1"/>
                <w:color w:val="2B4C9B"/>
              </w:rPr>
              <w:t>2025</w:t>
            </w:r>
          </w:p>
        </w:tc>
        <w:tc>
          <w:tcPr>
            <w:tcW w:w="620" w:type="dxa"/>
            <w:vAlign w:val="bottom"/>
            <w:tcBorders>
              <w:bottom w:val="single" w:sz="8" w:color="2B4C9B"/>
            </w:tcBorders>
          </w:tcPr>
          <w:p>
            <w:pPr>
              <w:spacing w:after="0"/>
              <w:rPr>
                <w:sz w:val="17"/>
                <w:szCs w:val="17"/>
                <w:color w:val="auto"/>
              </w:rPr>
            </w:pPr>
          </w:p>
        </w:tc>
        <w:tc>
          <w:tcPr>
            <w:tcW w:w="1100" w:type="dxa"/>
            <w:vAlign w:val="bottom"/>
            <w:tcBorders>
              <w:bottom w:val="single" w:sz="8" w:color="2B4C9B"/>
            </w:tcBorders>
          </w:tcPr>
          <w:p>
            <w:pPr>
              <w:jc w:val="right"/>
              <w:spacing w:after="0"/>
              <w:rPr>
                <w:sz w:val="20"/>
                <w:szCs w:val="20"/>
                <w:color w:val="auto"/>
              </w:rPr>
            </w:pPr>
            <w:r>
              <w:rPr>
                <w:rFonts w:ascii="Arial" w:cs="Arial" w:eastAsia="Arial" w:hAnsi="Arial"/>
                <w:sz w:val="14"/>
                <w:szCs w:val="14"/>
                <w:color w:val="auto"/>
              </w:rPr>
              <w:t>2024</w:t>
            </w:r>
          </w:p>
        </w:tc>
      </w:tr>
      <w:tr>
        <w:trPr>
          <w:trHeight w:val="189"/>
        </w:trPr>
        <w:tc>
          <w:tcPr>
            <w:tcW w:w="554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1940" w:type="dxa"/>
            <w:vAlign w:val="bottom"/>
            <w:gridSpan w:val="2"/>
          </w:tcPr>
          <w:p>
            <w:pPr>
              <w:jc w:val="right"/>
              <w:ind w:right="90"/>
              <w:spacing w:after="0"/>
              <w:rPr>
                <w:sz w:val="20"/>
                <w:szCs w:val="20"/>
                <w:color w:val="auto"/>
              </w:rPr>
            </w:pPr>
            <w:r>
              <w:rPr>
                <w:rFonts w:ascii="Arial" w:cs="Arial" w:eastAsia="Arial" w:hAnsi="Arial"/>
                <w:sz w:val="14"/>
                <w:szCs w:val="14"/>
                <w:color w:val="auto"/>
              </w:rPr>
              <w:t>(in thousands)</w:t>
            </w:r>
          </w:p>
        </w:tc>
        <w:tc>
          <w:tcPr>
            <w:tcW w:w="1100" w:type="dxa"/>
            <w:vAlign w:val="bottom"/>
          </w:tcPr>
          <w:p>
            <w:pPr>
              <w:spacing w:after="0"/>
              <w:rPr>
                <w:sz w:val="16"/>
                <w:szCs w:val="16"/>
                <w:color w:val="auto"/>
              </w:rPr>
            </w:pPr>
          </w:p>
        </w:tc>
      </w:tr>
      <w:tr>
        <w:trPr>
          <w:trHeight w:val="238"/>
        </w:trPr>
        <w:tc>
          <w:tcPr>
            <w:tcW w:w="5540" w:type="dxa"/>
            <w:vAlign w:val="bottom"/>
          </w:tcPr>
          <w:p>
            <w:pPr>
              <w:ind w:left="20"/>
              <w:spacing w:after="0"/>
              <w:rPr>
                <w:sz w:val="20"/>
                <w:szCs w:val="20"/>
                <w:color w:val="auto"/>
              </w:rPr>
            </w:pPr>
            <w:r>
              <w:rPr>
                <w:rFonts w:ascii="Arial" w:cs="Arial" w:eastAsia="Arial" w:hAnsi="Arial"/>
                <w:sz w:val="18"/>
                <w:szCs w:val="18"/>
                <w:b w:val="1"/>
                <w:bCs w:val="1"/>
                <w:color w:val="2B4C9B"/>
              </w:rPr>
              <w:t>ASSETS:</w:t>
            </w:r>
          </w:p>
        </w:tc>
        <w:tc>
          <w:tcPr>
            <w:tcW w:w="24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29"/>
        </w:trPr>
        <w:tc>
          <w:tcPr>
            <w:tcW w:w="5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Investments, at fair value</w:t>
            </w:r>
          </w:p>
        </w:tc>
        <w:tc>
          <w:tcPr>
            <w:tcW w:w="2440" w:type="dxa"/>
            <w:vAlign w:val="bottom"/>
            <w:shd w:val="clear" w:color="auto" w:fill="CFF0FC"/>
          </w:tcPr>
          <w:p>
            <w:pPr>
              <w:jc w:val="right"/>
              <w:ind w:right="190"/>
              <w:spacing w:after="0"/>
              <w:rPr>
                <w:sz w:val="20"/>
                <w:szCs w:val="20"/>
                <w:color w:val="auto"/>
              </w:rPr>
            </w:pPr>
            <w:r>
              <w:rPr>
                <w:rFonts w:ascii="Arial" w:cs="Arial" w:eastAsia="Arial" w:hAnsi="Arial"/>
                <w:sz w:val="18"/>
                <w:szCs w:val="18"/>
                <w:b w:val="1"/>
                <w:bCs w:val="1"/>
                <w:color w:val="2B4C9B"/>
              </w:rPr>
              <w:t>$</w:t>
            </w:r>
          </w:p>
        </w:tc>
        <w:tc>
          <w:tcPr>
            <w:tcW w:w="1320" w:type="dxa"/>
            <w:vAlign w:val="bottom"/>
            <w:shd w:val="clear" w:color="auto" w:fill="CFF0FC"/>
          </w:tcPr>
          <w:p>
            <w:pPr>
              <w:jc w:val="right"/>
              <w:ind w:right="75"/>
              <w:spacing w:after="0"/>
              <w:rPr>
                <w:sz w:val="20"/>
                <w:szCs w:val="20"/>
                <w:color w:val="auto"/>
              </w:rPr>
            </w:pPr>
            <w:r>
              <w:rPr>
                <w:rFonts w:ascii="Arial" w:cs="Arial" w:eastAsia="Arial" w:hAnsi="Arial"/>
                <w:sz w:val="18"/>
                <w:szCs w:val="18"/>
                <w:b w:val="1"/>
                <w:bCs w:val="1"/>
                <w:color w:val="2B4C9B"/>
              </w:rPr>
              <w:t>5,931,416</w:t>
            </w:r>
          </w:p>
        </w:tc>
        <w:tc>
          <w:tcPr>
            <w:tcW w:w="62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5,366,221</w:t>
            </w:r>
          </w:p>
        </w:tc>
      </w:tr>
      <w:tr>
        <w:trPr>
          <w:trHeight w:val="229"/>
        </w:trPr>
        <w:tc>
          <w:tcPr>
            <w:tcW w:w="5540" w:type="dxa"/>
            <w:vAlign w:val="bottom"/>
          </w:tcPr>
          <w:p>
            <w:pPr>
              <w:ind w:left="20"/>
              <w:spacing w:after="0"/>
              <w:rPr>
                <w:sz w:val="20"/>
                <w:szCs w:val="20"/>
                <w:color w:val="auto"/>
              </w:rPr>
            </w:pPr>
            <w:r>
              <w:rPr>
                <w:rFonts w:ascii="Arial" w:cs="Arial" w:eastAsia="Arial" w:hAnsi="Arial"/>
                <w:sz w:val="18"/>
                <w:szCs w:val="18"/>
                <w:color w:val="auto"/>
              </w:rPr>
              <w:t>Receivables:</w:t>
            </w:r>
          </w:p>
        </w:tc>
        <w:tc>
          <w:tcPr>
            <w:tcW w:w="24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55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Notes receivable from participants</w:t>
            </w:r>
          </w:p>
        </w:tc>
        <w:tc>
          <w:tcPr>
            <w:tcW w:w="244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75"/>
              <w:spacing w:after="0"/>
              <w:rPr>
                <w:sz w:val="20"/>
                <w:szCs w:val="20"/>
                <w:color w:val="auto"/>
              </w:rPr>
            </w:pPr>
            <w:r>
              <w:rPr>
                <w:rFonts w:ascii="Arial" w:cs="Arial" w:eastAsia="Arial" w:hAnsi="Arial"/>
                <w:sz w:val="18"/>
                <w:szCs w:val="18"/>
                <w:b w:val="1"/>
                <w:bCs w:val="1"/>
                <w:color w:val="2B4C9B"/>
              </w:rPr>
              <w:t>33,678</w:t>
            </w:r>
          </w:p>
        </w:tc>
        <w:tc>
          <w:tcPr>
            <w:tcW w:w="62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31,571</w:t>
            </w:r>
          </w:p>
        </w:tc>
      </w:tr>
      <w:tr>
        <w:trPr>
          <w:trHeight w:val="229"/>
        </w:trPr>
        <w:tc>
          <w:tcPr>
            <w:tcW w:w="5540" w:type="dxa"/>
            <w:vAlign w:val="bottom"/>
            <w:tcBorders>
              <w:bottom w:val="single" w:sz="8" w:color="2B4C9B"/>
            </w:tcBorders>
          </w:tcPr>
          <w:p>
            <w:pPr>
              <w:ind w:left="380"/>
              <w:spacing w:after="0"/>
              <w:rPr>
                <w:sz w:val="20"/>
                <w:szCs w:val="20"/>
                <w:color w:val="auto"/>
              </w:rPr>
            </w:pPr>
            <w:r>
              <w:rPr>
                <w:rFonts w:ascii="Arial" w:cs="Arial" w:eastAsia="Arial" w:hAnsi="Arial"/>
                <w:sz w:val="18"/>
                <w:szCs w:val="18"/>
                <w:color w:val="auto"/>
              </w:rPr>
              <w:t>Employer contributions</w:t>
            </w:r>
          </w:p>
        </w:tc>
        <w:tc>
          <w:tcPr>
            <w:tcW w:w="2440" w:type="dxa"/>
            <w:vAlign w:val="bottom"/>
            <w:tcBorders>
              <w:bottom w:val="single" w:sz="8" w:color="2B4C9B"/>
            </w:tcBorders>
          </w:tcPr>
          <w:p>
            <w:pPr>
              <w:spacing w:after="0"/>
              <w:rPr>
                <w:sz w:val="19"/>
                <w:szCs w:val="19"/>
                <w:color w:val="auto"/>
              </w:rPr>
            </w:pPr>
          </w:p>
        </w:tc>
        <w:tc>
          <w:tcPr>
            <w:tcW w:w="1320" w:type="dxa"/>
            <w:vAlign w:val="bottom"/>
            <w:tcBorders>
              <w:bottom w:val="single" w:sz="8" w:color="2B4C9B"/>
            </w:tcBorders>
          </w:tcPr>
          <w:p>
            <w:pPr>
              <w:jc w:val="right"/>
              <w:ind w:right="75"/>
              <w:spacing w:after="0"/>
              <w:rPr>
                <w:sz w:val="20"/>
                <w:szCs w:val="20"/>
                <w:color w:val="auto"/>
              </w:rPr>
            </w:pPr>
            <w:r>
              <w:rPr>
                <w:rFonts w:ascii="Arial" w:cs="Arial" w:eastAsia="Arial" w:hAnsi="Arial"/>
                <w:sz w:val="18"/>
                <w:szCs w:val="18"/>
                <w:b w:val="1"/>
                <w:bCs w:val="1"/>
                <w:color w:val="2B4C9B"/>
              </w:rPr>
              <w:t>23,250</w:t>
            </w:r>
          </w:p>
        </w:tc>
        <w:tc>
          <w:tcPr>
            <w:tcW w:w="620" w:type="dxa"/>
            <w:vAlign w:val="bottom"/>
            <w:tcBorders>
              <w:bottom w:val="single" w:sz="8" w:color="2B4C9B"/>
            </w:tcBorders>
          </w:tcPr>
          <w:p>
            <w:pPr>
              <w:spacing w:after="0"/>
              <w:rPr>
                <w:sz w:val="19"/>
                <w:szCs w:val="19"/>
                <w:color w:val="auto"/>
              </w:rPr>
            </w:pPr>
          </w:p>
        </w:tc>
        <w:tc>
          <w:tcPr>
            <w:tcW w:w="1100" w:type="dxa"/>
            <w:vAlign w:val="bottom"/>
            <w:tcBorders>
              <w:bottom w:val="single" w:sz="8" w:color="2B4C9B"/>
            </w:tcBorders>
          </w:tcPr>
          <w:p>
            <w:pPr>
              <w:jc w:val="right"/>
              <w:ind w:right="14"/>
              <w:spacing w:after="0"/>
              <w:rPr>
                <w:sz w:val="20"/>
                <w:szCs w:val="20"/>
                <w:color w:val="auto"/>
              </w:rPr>
            </w:pPr>
            <w:r>
              <w:rPr>
                <w:rFonts w:ascii="Arial" w:cs="Arial" w:eastAsia="Arial" w:hAnsi="Arial"/>
                <w:sz w:val="18"/>
                <w:szCs w:val="18"/>
                <w:color w:val="auto"/>
              </w:rPr>
              <w:t>22,762</w:t>
            </w:r>
          </w:p>
        </w:tc>
      </w:tr>
      <w:tr>
        <w:trPr>
          <w:trHeight w:val="223"/>
        </w:trPr>
        <w:tc>
          <w:tcPr>
            <w:tcW w:w="5540" w:type="dxa"/>
            <w:vAlign w:val="bottom"/>
            <w:tcBorders>
              <w:bottom w:val="single" w:sz="8" w:color="2B4C9B"/>
            </w:tcBorders>
          </w:tcPr>
          <w:p>
            <w:pPr>
              <w:ind w:left="760"/>
              <w:spacing w:after="0"/>
              <w:rPr>
                <w:sz w:val="20"/>
                <w:szCs w:val="20"/>
                <w:color w:val="auto"/>
              </w:rPr>
            </w:pPr>
            <w:r>
              <w:rPr>
                <w:rFonts w:ascii="Arial" w:cs="Arial" w:eastAsia="Arial" w:hAnsi="Arial"/>
                <w:sz w:val="18"/>
                <w:szCs w:val="18"/>
                <w:color w:val="auto"/>
              </w:rPr>
              <w:t>Total receivables</w:t>
            </w:r>
          </w:p>
        </w:tc>
        <w:tc>
          <w:tcPr>
            <w:tcW w:w="2440" w:type="dxa"/>
            <w:vAlign w:val="bottom"/>
            <w:tcBorders>
              <w:bottom w:val="single" w:sz="8" w:color="2B4C9B"/>
            </w:tcBorders>
          </w:tcPr>
          <w:p>
            <w:pPr>
              <w:spacing w:after="0"/>
              <w:rPr>
                <w:sz w:val="19"/>
                <w:szCs w:val="19"/>
                <w:color w:val="auto"/>
              </w:rPr>
            </w:pPr>
          </w:p>
        </w:tc>
        <w:tc>
          <w:tcPr>
            <w:tcW w:w="1320" w:type="dxa"/>
            <w:vAlign w:val="bottom"/>
            <w:tcBorders>
              <w:bottom w:val="single" w:sz="8" w:color="2B4C9B"/>
            </w:tcBorders>
          </w:tcPr>
          <w:p>
            <w:pPr>
              <w:jc w:val="right"/>
              <w:ind w:right="75"/>
              <w:spacing w:after="0"/>
              <w:rPr>
                <w:sz w:val="20"/>
                <w:szCs w:val="20"/>
                <w:color w:val="auto"/>
              </w:rPr>
            </w:pPr>
            <w:r>
              <w:rPr>
                <w:rFonts w:ascii="Arial" w:cs="Arial" w:eastAsia="Arial" w:hAnsi="Arial"/>
                <w:sz w:val="18"/>
                <w:szCs w:val="18"/>
                <w:b w:val="1"/>
                <w:bCs w:val="1"/>
                <w:color w:val="2B4C9B"/>
              </w:rPr>
              <w:t>56,928</w:t>
            </w:r>
          </w:p>
        </w:tc>
        <w:tc>
          <w:tcPr>
            <w:tcW w:w="620" w:type="dxa"/>
            <w:vAlign w:val="bottom"/>
            <w:tcBorders>
              <w:bottom w:val="single" w:sz="8" w:color="2B4C9B"/>
            </w:tcBorders>
          </w:tcPr>
          <w:p>
            <w:pPr>
              <w:spacing w:after="0"/>
              <w:rPr>
                <w:sz w:val="19"/>
                <w:szCs w:val="19"/>
                <w:color w:val="auto"/>
              </w:rPr>
            </w:pPr>
          </w:p>
        </w:tc>
        <w:tc>
          <w:tcPr>
            <w:tcW w:w="1100" w:type="dxa"/>
            <w:vAlign w:val="bottom"/>
            <w:tcBorders>
              <w:bottom w:val="single" w:sz="8" w:color="2B4C9B"/>
            </w:tcBorders>
          </w:tcPr>
          <w:p>
            <w:pPr>
              <w:jc w:val="right"/>
              <w:ind w:right="14"/>
              <w:spacing w:after="0"/>
              <w:rPr>
                <w:sz w:val="20"/>
                <w:szCs w:val="20"/>
                <w:color w:val="auto"/>
              </w:rPr>
            </w:pPr>
            <w:r>
              <w:rPr>
                <w:rFonts w:ascii="Arial" w:cs="Arial" w:eastAsia="Arial" w:hAnsi="Arial"/>
                <w:sz w:val="18"/>
                <w:szCs w:val="18"/>
                <w:color w:val="auto"/>
              </w:rPr>
              <w:t>54,333</w:t>
            </w:r>
          </w:p>
        </w:tc>
      </w:tr>
      <w:tr>
        <w:trPr>
          <w:trHeight w:val="230"/>
        </w:trPr>
        <w:tc>
          <w:tcPr>
            <w:tcW w:w="5540" w:type="dxa"/>
            <w:vAlign w:val="bottom"/>
            <w:tcBorders>
              <w:bottom w:val="single" w:sz="8" w:color="2B4C9B"/>
            </w:tcBorders>
            <w:shd w:val="clear" w:color="auto" w:fill="CFF0FC"/>
          </w:tcPr>
          <w:p>
            <w:pPr>
              <w:ind w:left="20"/>
              <w:spacing w:after="0"/>
              <w:rPr>
                <w:sz w:val="20"/>
                <w:szCs w:val="20"/>
                <w:color w:val="auto"/>
              </w:rPr>
            </w:pPr>
            <w:r>
              <w:rPr>
                <w:rFonts w:ascii="Arial" w:cs="Arial" w:eastAsia="Arial" w:hAnsi="Arial"/>
                <w:sz w:val="18"/>
                <w:szCs w:val="18"/>
                <w:color w:val="auto"/>
              </w:rPr>
              <w:t>Total assets</w:t>
            </w:r>
          </w:p>
        </w:tc>
        <w:tc>
          <w:tcPr>
            <w:tcW w:w="2440" w:type="dxa"/>
            <w:vAlign w:val="bottom"/>
            <w:tcBorders>
              <w:bottom w:val="single" w:sz="8" w:color="2B4C9B"/>
            </w:tcBorders>
            <w:shd w:val="clear" w:color="auto" w:fill="CFF0FC"/>
          </w:tcPr>
          <w:p>
            <w:pPr>
              <w:spacing w:after="0"/>
              <w:rPr>
                <w:sz w:val="20"/>
                <w:szCs w:val="20"/>
                <w:color w:val="auto"/>
              </w:rPr>
            </w:pPr>
          </w:p>
        </w:tc>
        <w:tc>
          <w:tcPr>
            <w:tcW w:w="1320" w:type="dxa"/>
            <w:vAlign w:val="bottom"/>
            <w:tcBorders>
              <w:bottom w:val="single" w:sz="8" w:color="2B4C9B"/>
            </w:tcBorders>
            <w:shd w:val="clear" w:color="auto" w:fill="CFF0FC"/>
          </w:tcPr>
          <w:p>
            <w:pPr>
              <w:jc w:val="right"/>
              <w:ind w:right="75"/>
              <w:spacing w:after="0"/>
              <w:rPr>
                <w:sz w:val="20"/>
                <w:szCs w:val="20"/>
                <w:color w:val="auto"/>
              </w:rPr>
            </w:pPr>
            <w:r>
              <w:rPr>
                <w:rFonts w:ascii="Arial" w:cs="Arial" w:eastAsia="Arial" w:hAnsi="Arial"/>
                <w:sz w:val="18"/>
                <w:szCs w:val="18"/>
                <w:b w:val="1"/>
                <w:bCs w:val="1"/>
                <w:color w:val="2B4C9B"/>
              </w:rPr>
              <w:t>5,988,344</w:t>
            </w:r>
          </w:p>
        </w:tc>
        <w:tc>
          <w:tcPr>
            <w:tcW w:w="620" w:type="dxa"/>
            <w:vAlign w:val="bottom"/>
            <w:tcBorders>
              <w:bottom w:val="single" w:sz="8" w:color="2B4C9B"/>
            </w:tcBorders>
            <w:shd w:val="clear" w:color="auto" w:fill="CFF0FC"/>
          </w:tcPr>
          <w:p>
            <w:pPr>
              <w:spacing w:after="0"/>
              <w:rPr>
                <w:sz w:val="20"/>
                <w:szCs w:val="20"/>
                <w:color w:val="auto"/>
              </w:rPr>
            </w:pPr>
          </w:p>
        </w:tc>
        <w:tc>
          <w:tcPr>
            <w:tcW w:w="1100" w:type="dxa"/>
            <w:vAlign w:val="bottom"/>
            <w:tcBorders>
              <w:bottom w:val="single" w:sz="8" w:color="2B4C9B"/>
            </w:tcBorders>
            <w:shd w:val="clear" w:color="auto" w:fill="CFF0FC"/>
          </w:tcPr>
          <w:p>
            <w:pPr>
              <w:jc w:val="right"/>
              <w:ind w:right="14"/>
              <w:spacing w:after="0"/>
              <w:rPr>
                <w:sz w:val="20"/>
                <w:szCs w:val="20"/>
                <w:color w:val="auto"/>
              </w:rPr>
            </w:pPr>
            <w:r>
              <w:rPr>
                <w:rFonts w:ascii="Arial" w:cs="Arial" w:eastAsia="Arial" w:hAnsi="Arial"/>
                <w:sz w:val="18"/>
                <w:szCs w:val="18"/>
                <w:color w:val="auto"/>
              </w:rPr>
              <w:t>5,420,554</w:t>
            </w:r>
          </w:p>
        </w:tc>
      </w:tr>
      <w:tr>
        <w:trPr>
          <w:trHeight w:val="229"/>
        </w:trPr>
        <w:tc>
          <w:tcPr>
            <w:tcW w:w="5540" w:type="dxa"/>
            <w:vAlign w:val="bottom"/>
          </w:tcPr>
          <w:p>
            <w:pPr>
              <w:ind w:left="20"/>
              <w:spacing w:after="0"/>
              <w:rPr>
                <w:sz w:val="20"/>
                <w:szCs w:val="20"/>
                <w:color w:val="auto"/>
              </w:rPr>
            </w:pPr>
            <w:r>
              <w:rPr>
                <w:rFonts w:ascii="Arial" w:cs="Arial" w:eastAsia="Arial" w:hAnsi="Arial"/>
                <w:sz w:val="18"/>
                <w:szCs w:val="18"/>
                <w:b w:val="1"/>
                <w:bCs w:val="1"/>
                <w:color w:val="2B4C9B"/>
              </w:rPr>
              <w:t>LIABILITIES:</w:t>
            </w:r>
          </w:p>
        </w:tc>
        <w:tc>
          <w:tcPr>
            <w:tcW w:w="24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5540" w:type="dxa"/>
            <w:vAlign w:val="bottom"/>
            <w:tcBorders>
              <w:bottom w:val="single" w:sz="8" w:color="2B4C9B"/>
            </w:tcBorders>
            <w:shd w:val="clear" w:color="auto" w:fill="CFF0FC"/>
          </w:tcPr>
          <w:p>
            <w:pPr>
              <w:ind w:left="20"/>
              <w:spacing w:after="0"/>
              <w:rPr>
                <w:sz w:val="20"/>
                <w:szCs w:val="20"/>
                <w:color w:val="auto"/>
              </w:rPr>
            </w:pPr>
            <w:r>
              <w:rPr>
                <w:rFonts w:ascii="Arial" w:cs="Arial" w:eastAsia="Arial" w:hAnsi="Arial"/>
                <w:sz w:val="18"/>
                <w:szCs w:val="18"/>
                <w:color w:val="auto"/>
              </w:rPr>
              <w:t>Excess contributions due to participants</w:t>
            </w:r>
          </w:p>
        </w:tc>
        <w:tc>
          <w:tcPr>
            <w:tcW w:w="2440" w:type="dxa"/>
            <w:vAlign w:val="bottom"/>
            <w:tcBorders>
              <w:bottom w:val="single" w:sz="8" w:color="2B4C9B"/>
            </w:tcBorders>
            <w:shd w:val="clear" w:color="auto" w:fill="CFF0FC"/>
          </w:tcPr>
          <w:p>
            <w:pPr>
              <w:spacing w:after="0"/>
              <w:rPr>
                <w:sz w:val="19"/>
                <w:szCs w:val="19"/>
                <w:color w:val="auto"/>
              </w:rPr>
            </w:pPr>
          </w:p>
        </w:tc>
        <w:tc>
          <w:tcPr>
            <w:tcW w:w="1320" w:type="dxa"/>
            <w:vAlign w:val="bottom"/>
            <w:tcBorders>
              <w:bottom w:val="single" w:sz="8" w:color="2B4C9B"/>
            </w:tcBorders>
            <w:shd w:val="clear" w:color="auto" w:fill="CFF0FC"/>
          </w:tcPr>
          <w:p>
            <w:pPr>
              <w:jc w:val="right"/>
              <w:ind w:right="75"/>
              <w:spacing w:after="0"/>
              <w:rPr>
                <w:sz w:val="20"/>
                <w:szCs w:val="20"/>
                <w:color w:val="auto"/>
              </w:rPr>
            </w:pPr>
            <w:r>
              <w:rPr>
                <w:rFonts w:ascii="Arial" w:cs="Arial" w:eastAsia="Arial" w:hAnsi="Arial"/>
                <w:sz w:val="18"/>
                <w:szCs w:val="18"/>
                <w:b w:val="1"/>
                <w:bCs w:val="1"/>
                <w:color w:val="2B4C9B"/>
              </w:rPr>
              <w:t>—</w:t>
            </w:r>
          </w:p>
        </w:tc>
        <w:tc>
          <w:tcPr>
            <w:tcW w:w="620" w:type="dxa"/>
            <w:vAlign w:val="bottom"/>
            <w:tcBorders>
              <w:bottom w:val="single" w:sz="8" w:color="2B4C9B"/>
            </w:tcBorders>
            <w:shd w:val="clear" w:color="auto" w:fill="CFF0FC"/>
          </w:tcPr>
          <w:p>
            <w:pPr>
              <w:spacing w:after="0"/>
              <w:rPr>
                <w:sz w:val="19"/>
                <w:szCs w:val="19"/>
                <w:color w:val="auto"/>
              </w:rPr>
            </w:pPr>
          </w:p>
        </w:tc>
        <w:tc>
          <w:tcPr>
            <w:tcW w:w="1100" w:type="dxa"/>
            <w:vAlign w:val="bottom"/>
            <w:tcBorders>
              <w:bottom w:val="single" w:sz="8" w:color="2B4C9B"/>
            </w:tcBorders>
            <w:shd w:val="clear" w:color="auto" w:fill="CFF0FC"/>
          </w:tcPr>
          <w:p>
            <w:pPr>
              <w:jc w:val="right"/>
              <w:ind w:right="14"/>
              <w:spacing w:after="0"/>
              <w:rPr>
                <w:sz w:val="20"/>
                <w:szCs w:val="20"/>
                <w:color w:val="auto"/>
              </w:rPr>
            </w:pPr>
            <w:r>
              <w:rPr>
                <w:rFonts w:ascii="Arial" w:cs="Arial" w:eastAsia="Arial" w:hAnsi="Arial"/>
                <w:sz w:val="18"/>
                <w:szCs w:val="18"/>
                <w:color w:val="auto"/>
              </w:rPr>
              <w:t>3</w:t>
            </w:r>
          </w:p>
        </w:tc>
      </w:tr>
      <w:tr>
        <w:trPr>
          <w:trHeight w:val="230"/>
        </w:trPr>
        <w:tc>
          <w:tcPr>
            <w:tcW w:w="5540" w:type="dxa"/>
            <w:vAlign w:val="bottom"/>
            <w:tcBorders>
              <w:bottom w:val="single" w:sz="8" w:color="2B4C9B"/>
            </w:tcBorders>
          </w:tcPr>
          <w:p>
            <w:pPr>
              <w:ind w:left="20"/>
              <w:spacing w:after="0"/>
              <w:rPr>
                <w:sz w:val="20"/>
                <w:szCs w:val="20"/>
                <w:color w:val="auto"/>
              </w:rPr>
            </w:pPr>
            <w:r>
              <w:rPr>
                <w:rFonts w:ascii="Arial" w:cs="Arial" w:eastAsia="Arial" w:hAnsi="Arial"/>
                <w:sz w:val="18"/>
                <w:szCs w:val="18"/>
                <w:color w:val="auto"/>
              </w:rPr>
              <w:t>NET ASSETS AVAILABLE FOR BENEFITS</w:t>
            </w:r>
          </w:p>
        </w:tc>
        <w:tc>
          <w:tcPr>
            <w:tcW w:w="2440" w:type="dxa"/>
            <w:vAlign w:val="bottom"/>
            <w:tcBorders>
              <w:bottom w:val="single" w:sz="8" w:color="2B4C9B"/>
            </w:tcBorders>
          </w:tcPr>
          <w:p>
            <w:pPr>
              <w:jc w:val="right"/>
              <w:ind w:right="190"/>
              <w:spacing w:after="0"/>
              <w:rPr>
                <w:sz w:val="20"/>
                <w:szCs w:val="20"/>
                <w:color w:val="auto"/>
              </w:rPr>
            </w:pPr>
            <w:r>
              <w:rPr>
                <w:rFonts w:ascii="Arial" w:cs="Arial" w:eastAsia="Arial" w:hAnsi="Arial"/>
                <w:sz w:val="18"/>
                <w:szCs w:val="18"/>
                <w:b w:val="1"/>
                <w:bCs w:val="1"/>
                <w:color w:val="2B4C9B"/>
              </w:rPr>
              <w:t>$</w:t>
            </w:r>
          </w:p>
        </w:tc>
        <w:tc>
          <w:tcPr>
            <w:tcW w:w="1320" w:type="dxa"/>
            <w:vAlign w:val="bottom"/>
            <w:tcBorders>
              <w:bottom w:val="single" w:sz="8" w:color="2B4C9B"/>
            </w:tcBorders>
          </w:tcPr>
          <w:p>
            <w:pPr>
              <w:jc w:val="right"/>
              <w:ind w:right="75"/>
              <w:spacing w:after="0"/>
              <w:rPr>
                <w:sz w:val="20"/>
                <w:szCs w:val="20"/>
                <w:color w:val="auto"/>
              </w:rPr>
            </w:pPr>
            <w:r>
              <w:rPr>
                <w:rFonts w:ascii="Arial" w:cs="Arial" w:eastAsia="Arial" w:hAnsi="Arial"/>
                <w:sz w:val="18"/>
                <w:szCs w:val="18"/>
                <w:b w:val="1"/>
                <w:bCs w:val="1"/>
                <w:color w:val="2B4C9B"/>
              </w:rPr>
              <w:t>5,988,344</w:t>
            </w:r>
          </w:p>
        </w:tc>
        <w:tc>
          <w:tcPr>
            <w:tcW w:w="620" w:type="dxa"/>
            <w:vAlign w:val="bottom"/>
            <w:tcBorders>
              <w:bottom w:val="single" w:sz="8" w:color="2B4C9B"/>
            </w:tcBorders>
          </w:tcPr>
          <w:p>
            <w:pPr>
              <w:jc w:val="right"/>
              <w:ind w:right="3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2B4C9B"/>
            </w:tcBorders>
          </w:tcPr>
          <w:p>
            <w:pPr>
              <w:jc w:val="right"/>
              <w:ind w:right="14"/>
              <w:spacing w:after="0"/>
              <w:rPr>
                <w:sz w:val="20"/>
                <w:szCs w:val="20"/>
                <w:color w:val="auto"/>
              </w:rPr>
            </w:pPr>
            <w:r>
              <w:rPr>
                <w:rFonts w:ascii="Arial" w:cs="Arial" w:eastAsia="Arial" w:hAnsi="Arial"/>
                <w:sz w:val="18"/>
                <w:szCs w:val="18"/>
                <w:color w:val="auto"/>
              </w:rPr>
              <w:t>5,420,551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financial statements.</w:t>
      </w:r>
    </w:p>
    <w:p>
      <w:pPr>
        <w:spacing w:after="0" w:line="36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2B4C9B"/>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227965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440" w:top="122" w:right="4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2B4C9B"/>
        </w:rPr>
        <w:t>SCIENCE APPLICATIONS INTERNATIONAL CORPORATION RETIREMENT PLAN</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B4C9B"/>
        </w:rPr>
        <w:t>STATEMENTS OF CHANGES IN NET ASSETS AVAILABLE FOR BENEFITS</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740" w:type="dxa"/>
            <w:vAlign w:val="bottom"/>
          </w:tcPr>
          <w:p>
            <w:pPr>
              <w:spacing w:after="0"/>
              <w:rPr>
                <w:sz w:val="16"/>
                <w:szCs w:val="16"/>
                <w:color w:val="auto"/>
              </w:rPr>
            </w:pPr>
          </w:p>
        </w:tc>
        <w:tc>
          <w:tcPr>
            <w:tcW w:w="460" w:type="dxa"/>
            <w:vAlign w:val="bottom"/>
            <w:tcBorders>
              <w:bottom w:val="single" w:sz="8" w:color="2B4C9B"/>
            </w:tcBorders>
          </w:tcPr>
          <w:p>
            <w:pPr>
              <w:spacing w:after="0"/>
              <w:rPr>
                <w:sz w:val="16"/>
                <w:szCs w:val="16"/>
                <w:color w:val="auto"/>
              </w:rPr>
            </w:pPr>
          </w:p>
        </w:tc>
        <w:tc>
          <w:tcPr>
            <w:tcW w:w="1940" w:type="dxa"/>
            <w:vAlign w:val="bottom"/>
            <w:tcBorders>
              <w:bottom w:val="single" w:sz="8" w:color="2B4C9B"/>
            </w:tcBorders>
            <w:gridSpan w:val="2"/>
          </w:tcPr>
          <w:p>
            <w:pPr>
              <w:jc w:val="right"/>
              <w:ind w:right="190"/>
              <w:spacing w:after="0"/>
              <w:rPr>
                <w:sz w:val="20"/>
                <w:szCs w:val="20"/>
                <w:color w:val="auto"/>
              </w:rPr>
            </w:pPr>
            <w:r>
              <w:rPr>
                <w:rFonts w:ascii="Arial" w:cs="Arial" w:eastAsia="Arial" w:hAnsi="Arial"/>
                <w:sz w:val="14"/>
                <w:szCs w:val="14"/>
                <w:color w:val="auto"/>
              </w:rPr>
              <w:t>Year Ended</w:t>
            </w:r>
          </w:p>
        </w:tc>
        <w:tc>
          <w:tcPr>
            <w:tcW w:w="1100" w:type="dxa"/>
            <w:vAlign w:val="bottom"/>
            <w:tcBorders>
              <w:bottom w:val="single" w:sz="8" w:color="2B4C9B"/>
            </w:tcBorders>
          </w:tcPr>
          <w:p>
            <w:pPr>
              <w:spacing w:after="0"/>
              <w:rPr>
                <w:sz w:val="16"/>
                <w:szCs w:val="16"/>
                <w:color w:val="auto"/>
              </w:rPr>
            </w:pPr>
          </w:p>
        </w:tc>
      </w:tr>
      <w:tr>
        <w:trPr>
          <w:trHeight w:val="198"/>
        </w:trPr>
        <w:tc>
          <w:tcPr>
            <w:tcW w:w="7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60" w:type="dxa"/>
            <w:vAlign w:val="bottom"/>
          </w:tcPr>
          <w:p>
            <w:pPr>
              <w:jc w:val="right"/>
              <w:ind w:right="14"/>
              <w:spacing w:after="0"/>
              <w:rPr>
                <w:sz w:val="20"/>
                <w:szCs w:val="20"/>
                <w:color w:val="auto"/>
              </w:rPr>
            </w:pPr>
            <w:r>
              <w:rPr>
                <w:rFonts w:ascii="Arial" w:cs="Arial" w:eastAsia="Arial" w:hAnsi="Arial"/>
                <w:sz w:val="14"/>
                <w:szCs w:val="14"/>
                <w:b w:val="1"/>
                <w:bCs w:val="1"/>
                <w:color w:val="2B4C9B"/>
              </w:rPr>
              <w:t>December 31,</w:t>
            </w:r>
          </w:p>
        </w:tc>
        <w:tc>
          <w:tcPr>
            <w:tcW w:w="5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December 31,</w:t>
            </w:r>
          </w:p>
        </w:tc>
      </w:tr>
      <w:tr>
        <w:trPr>
          <w:trHeight w:val="203"/>
        </w:trPr>
        <w:tc>
          <w:tcPr>
            <w:tcW w:w="7740" w:type="dxa"/>
            <w:vAlign w:val="bottom"/>
            <w:tcBorders>
              <w:bottom w:val="single" w:sz="8" w:color="2B4C9B"/>
            </w:tcBorders>
          </w:tcPr>
          <w:p>
            <w:pPr>
              <w:spacing w:after="0"/>
              <w:rPr>
                <w:sz w:val="17"/>
                <w:szCs w:val="17"/>
                <w:color w:val="auto"/>
              </w:rPr>
            </w:pPr>
          </w:p>
        </w:tc>
        <w:tc>
          <w:tcPr>
            <w:tcW w:w="460" w:type="dxa"/>
            <w:vAlign w:val="bottom"/>
            <w:tcBorders>
              <w:bottom w:val="single" w:sz="8" w:color="2B4C9B"/>
            </w:tcBorders>
          </w:tcPr>
          <w:p>
            <w:pPr>
              <w:spacing w:after="0"/>
              <w:rPr>
                <w:sz w:val="17"/>
                <w:szCs w:val="17"/>
                <w:color w:val="auto"/>
              </w:rPr>
            </w:pPr>
          </w:p>
        </w:tc>
        <w:tc>
          <w:tcPr>
            <w:tcW w:w="1360" w:type="dxa"/>
            <w:vAlign w:val="bottom"/>
            <w:tcBorders>
              <w:bottom w:val="single" w:sz="8" w:color="2B4C9B"/>
            </w:tcBorders>
          </w:tcPr>
          <w:p>
            <w:pPr>
              <w:jc w:val="right"/>
              <w:ind w:right="14"/>
              <w:spacing w:after="0"/>
              <w:rPr>
                <w:sz w:val="20"/>
                <w:szCs w:val="20"/>
                <w:color w:val="auto"/>
              </w:rPr>
            </w:pPr>
            <w:r>
              <w:rPr>
                <w:rFonts w:ascii="Arial" w:cs="Arial" w:eastAsia="Arial" w:hAnsi="Arial"/>
                <w:sz w:val="14"/>
                <w:szCs w:val="14"/>
                <w:b w:val="1"/>
                <w:bCs w:val="1"/>
                <w:color w:val="2B4C9B"/>
              </w:rPr>
              <w:t>2025</w:t>
            </w:r>
          </w:p>
        </w:tc>
        <w:tc>
          <w:tcPr>
            <w:tcW w:w="580" w:type="dxa"/>
            <w:vAlign w:val="bottom"/>
            <w:tcBorders>
              <w:bottom w:val="single" w:sz="8" w:color="2B4C9B"/>
            </w:tcBorders>
          </w:tcPr>
          <w:p>
            <w:pPr>
              <w:spacing w:after="0"/>
              <w:rPr>
                <w:sz w:val="17"/>
                <w:szCs w:val="17"/>
                <w:color w:val="auto"/>
              </w:rPr>
            </w:pPr>
          </w:p>
        </w:tc>
        <w:tc>
          <w:tcPr>
            <w:tcW w:w="1100" w:type="dxa"/>
            <w:vAlign w:val="bottom"/>
            <w:tcBorders>
              <w:bottom w:val="single" w:sz="8" w:color="2B4C9B"/>
            </w:tcBorders>
          </w:tcPr>
          <w:p>
            <w:pPr>
              <w:jc w:val="right"/>
              <w:spacing w:after="0"/>
              <w:rPr>
                <w:sz w:val="20"/>
                <w:szCs w:val="20"/>
                <w:color w:val="auto"/>
              </w:rPr>
            </w:pPr>
            <w:r>
              <w:rPr>
                <w:rFonts w:ascii="Arial" w:cs="Arial" w:eastAsia="Arial" w:hAnsi="Arial"/>
                <w:sz w:val="14"/>
                <w:szCs w:val="14"/>
                <w:color w:val="auto"/>
              </w:rPr>
              <w:t>2024</w:t>
            </w:r>
          </w:p>
        </w:tc>
      </w:tr>
      <w:tr>
        <w:trPr>
          <w:trHeight w:val="189"/>
        </w:trPr>
        <w:tc>
          <w:tcPr>
            <w:tcW w:w="77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940" w:type="dxa"/>
            <w:vAlign w:val="bottom"/>
            <w:gridSpan w:val="2"/>
          </w:tcPr>
          <w:p>
            <w:pPr>
              <w:jc w:val="right"/>
              <w:ind w:right="110"/>
              <w:spacing w:after="0"/>
              <w:rPr>
                <w:sz w:val="20"/>
                <w:szCs w:val="20"/>
                <w:color w:val="auto"/>
              </w:rPr>
            </w:pPr>
            <w:r>
              <w:rPr>
                <w:rFonts w:ascii="Arial" w:cs="Arial" w:eastAsia="Arial" w:hAnsi="Arial"/>
                <w:sz w:val="14"/>
                <w:szCs w:val="14"/>
                <w:color w:val="auto"/>
              </w:rPr>
              <w:t>(in thousands)</w:t>
            </w:r>
          </w:p>
        </w:tc>
        <w:tc>
          <w:tcPr>
            <w:tcW w:w="1100" w:type="dxa"/>
            <w:vAlign w:val="bottom"/>
          </w:tcPr>
          <w:p>
            <w:pPr>
              <w:spacing w:after="0"/>
              <w:rPr>
                <w:sz w:val="16"/>
                <w:szCs w:val="16"/>
                <w:color w:val="auto"/>
              </w:rPr>
            </w:pPr>
          </w:p>
        </w:tc>
      </w:tr>
      <w:tr>
        <w:trPr>
          <w:trHeight w:val="238"/>
        </w:trPr>
        <w:tc>
          <w:tcPr>
            <w:tcW w:w="7740" w:type="dxa"/>
            <w:vAlign w:val="bottom"/>
          </w:tcPr>
          <w:p>
            <w:pPr>
              <w:ind w:left="20"/>
              <w:spacing w:after="0"/>
              <w:rPr>
                <w:sz w:val="20"/>
                <w:szCs w:val="20"/>
                <w:color w:val="auto"/>
              </w:rPr>
            </w:pPr>
            <w:r>
              <w:rPr>
                <w:rFonts w:ascii="Arial" w:cs="Arial" w:eastAsia="Arial" w:hAnsi="Arial"/>
                <w:sz w:val="18"/>
                <w:szCs w:val="18"/>
                <w:color w:val="auto"/>
              </w:rPr>
              <w:t>INVESTMENT INCOME:</w:t>
            </w:r>
          </w:p>
        </w:tc>
        <w:tc>
          <w:tcPr>
            <w:tcW w:w="4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29"/>
        </w:trPr>
        <w:tc>
          <w:tcPr>
            <w:tcW w:w="7740" w:type="dxa"/>
            <w:vAlign w:val="bottom"/>
            <w:shd w:val="clear" w:color="auto" w:fill="CFF0FC"/>
          </w:tcPr>
          <w:p>
            <w:pPr>
              <w:ind w:left="360"/>
              <w:spacing w:after="0"/>
              <w:rPr>
                <w:sz w:val="20"/>
                <w:szCs w:val="20"/>
                <w:color w:val="auto"/>
              </w:rPr>
            </w:pPr>
            <w:r>
              <w:rPr>
                <w:rFonts w:ascii="Arial" w:cs="Arial" w:eastAsia="Arial" w:hAnsi="Arial"/>
                <w:sz w:val="18"/>
                <w:szCs w:val="18"/>
                <w:color w:val="auto"/>
              </w:rPr>
              <w:t>Net appreciation in fair value of investments</w:t>
            </w:r>
          </w:p>
        </w:tc>
        <w:tc>
          <w:tcPr>
            <w:tcW w:w="460" w:type="dxa"/>
            <w:vAlign w:val="bottom"/>
            <w:shd w:val="clear" w:color="auto" w:fill="CFF0FC"/>
          </w:tcPr>
          <w:p>
            <w:pPr>
              <w:jc w:val="right"/>
              <w:ind w:right="250"/>
              <w:spacing w:after="0"/>
              <w:rPr>
                <w:sz w:val="20"/>
                <w:szCs w:val="20"/>
                <w:color w:val="auto"/>
              </w:rPr>
            </w:pPr>
            <w:r>
              <w:rPr>
                <w:rFonts w:ascii="Arial" w:cs="Arial" w:eastAsia="Arial" w:hAnsi="Arial"/>
                <w:sz w:val="18"/>
                <w:szCs w:val="18"/>
                <w:b w:val="1"/>
                <w:bCs w:val="1"/>
                <w:color w:val="2B4C9B"/>
                <w:w w:val="99"/>
              </w:rPr>
              <w:t>$</w:t>
            </w:r>
          </w:p>
        </w:tc>
        <w:tc>
          <w:tcPr>
            <w:tcW w:w="1360" w:type="dxa"/>
            <w:vAlign w:val="bottom"/>
            <w:shd w:val="clear" w:color="auto" w:fill="CFF0FC"/>
          </w:tcPr>
          <w:p>
            <w:pPr>
              <w:jc w:val="right"/>
              <w:ind w:right="74"/>
              <w:spacing w:after="0"/>
              <w:rPr>
                <w:sz w:val="20"/>
                <w:szCs w:val="20"/>
                <w:color w:val="auto"/>
              </w:rPr>
            </w:pPr>
            <w:r>
              <w:rPr>
                <w:rFonts w:ascii="Arial" w:cs="Arial" w:eastAsia="Arial" w:hAnsi="Arial"/>
                <w:sz w:val="18"/>
                <w:szCs w:val="18"/>
                <w:b w:val="1"/>
                <w:bCs w:val="1"/>
                <w:color w:val="2B4C9B"/>
              </w:rPr>
              <w:t>703,366</w:t>
            </w:r>
          </w:p>
        </w:tc>
        <w:tc>
          <w:tcPr>
            <w:tcW w:w="58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514,368</w:t>
            </w:r>
          </w:p>
        </w:tc>
      </w:tr>
      <w:tr>
        <w:trPr>
          <w:trHeight w:val="230"/>
        </w:trPr>
        <w:tc>
          <w:tcPr>
            <w:tcW w:w="7740" w:type="dxa"/>
            <w:vAlign w:val="bottom"/>
            <w:tcBorders>
              <w:bottom w:val="single" w:sz="8" w:color="2B4C9B"/>
            </w:tcBorders>
          </w:tcPr>
          <w:p>
            <w:pPr>
              <w:ind w:left="360"/>
              <w:spacing w:after="0"/>
              <w:rPr>
                <w:sz w:val="20"/>
                <w:szCs w:val="20"/>
                <w:color w:val="auto"/>
              </w:rPr>
            </w:pPr>
            <w:r>
              <w:rPr>
                <w:rFonts w:ascii="Arial" w:cs="Arial" w:eastAsia="Arial" w:hAnsi="Arial"/>
                <w:sz w:val="18"/>
                <w:szCs w:val="18"/>
                <w:color w:val="auto"/>
              </w:rPr>
              <w:t>Interest and dividends</w:t>
            </w:r>
          </w:p>
        </w:tc>
        <w:tc>
          <w:tcPr>
            <w:tcW w:w="460" w:type="dxa"/>
            <w:vAlign w:val="bottom"/>
            <w:tcBorders>
              <w:bottom w:val="single" w:sz="8" w:color="2B4C9B"/>
            </w:tcBorders>
          </w:tcPr>
          <w:p>
            <w:pPr>
              <w:spacing w:after="0"/>
              <w:rPr>
                <w:sz w:val="19"/>
                <w:szCs w:val="19"/>
                <w:color w:val="auto"/>
              </w:rPr>
            </w:pPr>
          </w:p>
        </w:tc>
        <w:tc>
          <w:tcPr>
            <w:tcW w:w="1360" w:type="dxa"/>
            <w:vAlign w:val="bottom"/>
            <w:tcBorders>
              <w:bottom w:val="single" w:sz="8" w:color="2B4C9B"/>
            </w:tcBorders>
          </w:tcPr>
          <w:p>
            <w:pPr>
              <w:jc w:val="right"/>
              <w:ind w:right="74"/>
              <w:spacing w:after="0"/>
              <w:rPr>
                <w:sz w:val="20"/>
                <w:szCs w:val="20"/>
                <w:color w:val="auto"/>
              </w:rPr>
            </w:pPr>
            <w:r>
              <w:rPr>
                <w:rFonts w:ascii="Arial" w:cs="Arial" w:eastAsia="Arial" w:hAnsi="Arial"/>
                <w:sz w:val="18"/>
                <w:szCs w:val="18"/>
                <w:b w:val="1"/>
                <w:bCs w:val="1"/>
                <w:color w:val="2B4C9B"/>
              </w:rPr>
              <w:t>137,660</w:t>
            </w:r>
          </w:p>
        </w:tc>
        <w:tc>
          <w:tcPr>
            <w:tcW w:w="580" w:type="dxa"/>
            <w:vAlign w:val="bottom"/>
            <w:tcBorders>
              <w:bottom w:val="single" w:sz="8" w:color="2B4C9B"/>
            </w:tcBorders>
          </w:tcPr>
          <w:p>
            <w:pPr>
              <w:spacing w:after="0"/>
              <w:rPr>
                <w:sz w:val="19"/>
                <w:szCs w:val="19"/>
                <w:color w:val="auto"/>
              </w:rPr>
            </w:pPr>
          </w:p>
        </w:tc>
        <w:tc>
          <w:tcPr>
            <w:tcW w:w="1100" w:type="dxa"/>
            <w:vAlign w:val="bottom"/>
            <w:tcBorders>
              <w:bottom w:val="single" w:sz="8" w:color="2B4C9B"/>
            </w:tcBorders>
          </w:tcPr>
          <w:p>
            <w:pPr>
              <w:jc w:val="right"/>
              <w:spacing w:after="0"/>
              <w:rPr>
                <w:sz w:val="20"/>
                <w:szCs w:val="20"/>
                <w:color w:val="auto"/>
              </w:rPr>
            </w:pPr>
            <w:r>
              <w:rPr>
                <w:rFonts w:ascii="Arial" w:cs="Arial" w:eastAsia="Arial" w:hAnsi="Arial"/>
                <w:sz w:val="18"/>
                <w:szCs w:val="18"/>
                <w:color w:val="auto"/>
              </w:rPr>
              <w:t>96,991</w:t>
            </w:r>
          </w:p>
        </w:tc>
      </w:tr>
      <w:tr>
        <w:trPr>
          <w:trHeight w:val="223"/>
        </w:trPr>
        <w:tc>
          <w:tcPr>
            <w:tcW w:w="7740" w:type="dxa"/>
            <w:vAlign w:val="bottom"/>
            <w:tcBorders>
              <w:bottom w:val="single" w:sz="8" w:color="2B4C9B"/>
            </w:tcBorders>
            <w:shd w:val="clear" w:color="auto" w:fill="CFF0FC"/>
          </w:tcPr>
          <w:p>
            <w:pPr>
              <w:ind w:left="700"/>
              <w:spacing w:after="0"/>
              <w:rPr>
                <w:sz w:val="20"/>
                <w:szCs w:val="20"/>
                <w:color w:val="auto"/>
              </w:rPr>
            </w:pPr>
            <w:r>
              <w:rPr>
                <w:rFonts w:ascii="Arial" w:cs="Arial" w:eastAsia="Arial" w:hAnsi="Arial"/>
                <w:sz w:val="18"/>
                <w:szCs w:val="18"/>
                <w:color w:val="auto"/>
              </w:rPr>
              <w:t>Net investment income</w:t>
            </w:r>
          </w:p>
        </w:tc>
        <w:tc>
          <w:tcPr>
            <w:tcW w:w="460" w:type="dxa"/>
            <w:vAlign w:val="bottom"/>
            <w:tcBorders>
              <w:bottom w:val="single" w:sz="8" w:color="2B4C9B"/>
            </w:tcBorders>
            <w:shd w:val="clear" w:color="auto" w:fill="CFF0FC"/>
          </w:tcPr>
          <w:p>
            <w:pPr>
              <w:spacing w:after="0"/>
              <w:rPr>
                <w:sz w:val="19"/>
                <w:szCs w:val="19"/>
                <w:color w:val="auto"/>
              </w:rPr>
            </w:pPr>
          </w:p>
        </w:tc>
        <w:tc>
          <w:tcPr>
            <w:tcW w:w="1360" w:type="dxa"/>
            <w:vAlign w:val="bottom"/>
            <w:tcBorders>
              <w:bottom w:val="single" w:sz="8" w:color="2B4C9B"/>
            </w:tcBorders>
            <w:shd w:val="clear" w:color="auto" w:fill="CFF0FC"/>
          </w:tcPr>
          <w:p>
            <w:pPr>
              <w:jc w:val="right"/>
              <w:ind w:right="74"/>
              <w:spacing w:after="0"/>
              <w:rPr>
                <w:sz w:val="20"/>
                <w:szCs w:val="20"/>
                <w:color w:val="auto"/>
              </w:rPr>
            </w:pPr>
            <w:r>
              <w:rPr>
                <w:rFonts w:ascii="Arial" w:cs="Arial" w:eastAsia="Arial" w:hAnsi="Arial"/>
                <w:sz w:val="18"/>
                <w:szCs w:val="18"/>
                <w:b w:val="1"/>
                <w:bCs w:val="1"/>
                <w:color w:val="2B4C9B"/>
              </w:rPr>
              <w:t>841,026</w:t>
            </w:r>
          </w:p>
        </w:tc>
        <w:tc>
          <w:tcPr>
            <w:tcW w:w="580" w:type="dxa"/>
            <w:vAlign w:val="bottom"/>
            <w:tcBorders>
              <w:bottom w:val="single" w:sz="8" w:color="2B4C9B"/>
            </w:tcBorders>
            <w:shd w:val="clear" w:color="auto" w:fill="CFF0FC"/>
          </w:tcPr>
          <w:p>
            <w:pPr>
              <w:spacing w:after="0"/>
              <w:rPr>
                <w:sz w:val="19"/>
                <w:szCs w:val="19"/>
                <w:color w:val="auto"/>
              </w:rPr>
            </w:pPr>
          </w:p>
        </w:tc>
        <w:tc>
          <w:tcPr>
            <w:tcW w:w="110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color w:val="auto"/>
              </w:rPr>
              <w:t>611,359</w:t>
            </w:r>
          </w:p>
        </w:tc>
      </w:tr>
      <w:tr>
        <w:trPr>
          <w:trHeight w:val="237"/>
        </w:trPr>
        <w:tc>
          <w:tcPr>
            <w:tcW w:w="77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29"/>
        </w:trPr>
        <w:tc>
          <w:tcPr>
            <w:tcW w:w="7740" w:type="dxa"/>
            <w:vAlign w:val="bottom"/>
            <w:tcBorders>
              <w:bottom w:val="single" w:sz="8" w:color="2B4C9B"/>
            </w:tcBorders>
            <w:shd w:val="clear" w:color="auto" w:fill="CCF0FC"/>
          </w:tcPr>
          <w:p>
            <w:pPr>
              <w:ind w:left="20"/>
              <w:spacing w:after="0"/>
              <w:rPr>
                <w:sz w:val="20"/>
                <w:szCs w:val="20"/>
                <w:color w:val="auto"/>
              </w:rPr>
            </w:pPr>
            <w:r>
              <w:rPr>
                <w:rFonts w:ascii="Arial" w:cs="Arial" w:eastAsia="Arial" w:hAnsi="Arial"/>
                <w:sz w:val="18"/>
                <w:szCs w:val="18"/>
                <w:color w:val="auto"/>
              </w:rPr>
              <w:t>INTEREST INCOME ON NOTES RECEIVABLE FROM PARTICIPANTS</w:t>
            </w:r>
          </w:p>
        </w:tc>
        <w:tc>
          <w:tcPr>
            <w:tcW w:w="460" w:type="dxa"/>
            <w:vAlign w:val="bottom"/>
            <w:tcBorders>
              <w:bottom w:val="single" w:sz="8" w:color="2B4C9B"/>
            </w:tcBorders>
            <w:shd w:val="clear" w:color="auto" w:fill="CCF0FC"/>
          </w:tcPr>
          <w:p>
            <w:pPr>
              <w:spacing w:after="0"/>
              <w:rPr>
                <w:sz w:val="19"/>
                <w:szCs w:val="19"/>
                <w:color w:val="auto"/>
              </w:rPr>
            </w:pPr>
          </w:p>
        </w:tc>
        <w:tc>
          <w:tcPr>
            <w:tcW w:w="1360" w:type="dxa"/>
            <w:vAlign w:val="bottom"/>
            <w:tcBorders>
              <w:bottom w:val="single" w:sz="8" w:color="2B4C9B"/>
            </w:tcBorders>
            <w:shd w:val="clear" w:color="auto" w:fill="CCF0FC"/>
          </w:tcPr>
          <w:p>
            <w:pPr>
              <w:jc w:val="right"/>
              <w:ind w:right="74"/>
              <w:spacing w:after="0"/>
              <w:rPr>
                <w:sz w:val="20"/>
                <w:szCs w:val="20"/>
                <w:color w:val="auto"/>
              </w:rPr>
            </w:pPr>
            <w:r>
              <w:rPr>
                <w:rFonts w:ascii="Arial" w:cs="Arial" w:eastAsia="Arial" w:hAnsi="Arial"/>
                <w:sz w:val="18"/>
                <w:szCs w:val="18"/>
                <w:b w:val="1"/>
                <w:bCs w:val="1"/>
                <w:color w:val="2B4C9B"/>
              </w:rPr>
              <w:t>2,610</w:t>
            </w:r>
          </w:p>
        </w:tc>
        <w:tc>
          <w:tcPr>
            <w:tcW w:w="580" w:type="dxa"/>
            <w:vAlign w:val="bottom"/>
            <w:tcBorders>
              <w:bottom w:val="single" w:sz="8" w:color="2B4C9B"/>
            </w:tcBorders>
            <w:shd w:val="clear" w:color="auto" w:fill="CCF0FC"/>
          </w:tcPr>
          <w:p>
            <w:pPr>
              <w:spacing w:after="0"/>
              <w:rPr>
                <w:sz w:val="19"/>
                <w:szCs w:val="19"/>
                <w:color w:val="auto"/>
              </w:rPr>
            </w:pPr>
          </w:p>
        </w:tc>
        <w:tc>
          <w:tcPr>
            <w:tcW w:w="1100" w:type="dxa"/>
            <w:vAlign w:val="bottom"/>
            <w:tcBorders>
              <w:bottom w:val="single" w:sz="8" w:color="2B4C9B"/>
            </w:tcBorders>
            <w:shd w:val="clear" w:color="auto" w:fill="CCF0FC"/>
          </w:tcPr>
          <w:p>
            <w:pPr>
              <w:jc w:val="right"/>
              <w:spacing w:after="0"/>
              <w:rPr>
                <w:sz w:val="20"/>
                <w:szCs w:val="20"/>
                <w:color w:val="auto"/>
              </w:rPr>
            </w:pPr>
            <w:r>
              <w:rPr>
                <w:rFonts w:ascii="Arial" w:cs="Arial" w:eastAsia="Arial" w:hAnsi="Arial"/>
                <w:sz w:val="18"/>
                <w:szCs w:val="18"/>
                <w:color w:val="auto"/>
              </w:rPr>
              <w:t>2,306</w:t>
            </w:r>
          </w:p>
        </w:tc>
      </w:tr>
      <w:tr>
        <w:trPr>
          <w:trHeight w:val="237"/>
        </w:trPr>
        <w:tc>
          <w:tcPr>
            <w:tcW w:w="77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2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CONTRIBUTIONS:</w:t>
            </w:r>
          </w:p>
        </w:tc>
        <w:tc>
          <w:tcPr>
            <w:tcW w:w="46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r>
      <w:tr>
        <w:trPr>
          <w:trHeight w:val="230"/>
        </w:trPr>
        <w:tc>
          <w:tcPr>
            <w:tcW w:w="7740" w:type="dxa"/>
            <w:vAlign w:val="bottom"/>
          </w:tcPr>
          <w:p>
            <w:pPr>
              <w:ind w:left="360"/>
              <w:spacing w:after="0"/>
              <w:rPr>
                <w:sz w:val="20"/>
                <w:szCs w:val="20"/>
                <w:color w:val="auto"/>
              </w:rPr>
            </w:pPr>
            <w:r>
              <w:rPr>
                <w:rFonts w:ascii="Arial" w:cs="Arial" w:eastAsia="Arial" w:hAnsi="Arial"/>
                <w:sz w:val="18"/>
                <w:szCs w:val="18"/>
                <w:color w:val="auto"/>
              </w:rPr>
              <w:t>Participants</w:t>
            </w:r>
          </w:p>
        </w:tc>
        <w:tc>
          <w:tcPr>
            <w:tcW w:w="460" w:type="dxa"/>
            <w:vAlign w:val="bottom"/>
          </w:tcPr>
          <w:p>
            <w:pPr>
              <w:spacing w:after="0"/>
              <w:rPr>
                <w:sz w:val="19"/>
                <w:szCs w:val="19"/>
                <w:color w:val="auto"/>
              </w:rPr>
            </w:pPr>
          </w:p>
        </w:tc>
        <w:tc>
          <w:tcPr>
            <w:tcW w:w="1360" w:type="dxa"/>
            <w:vAlign w:val="bottom"/>
          </w:tcPr>
          <w:p>
            <w:pPr>
              <w:jc w:val="right"/>
              <w:ind w:right="74"/>
              <w:spacing w:after="0"/>
              <w:rPr>
                <w:sz w:val="20"/>
                <w:szCs w:val="20"/>
                <w:color w:val="auto"/>
              </w:rPr>
            </w:pPr>
            <w:r>
              <w:rPr>
                <w:rFonts w:ascii="Arial" w:cs="Arial" w:eastAsia="Arial" w:hAnsi="Arial"/>
                <w:sz w:val="18"/>
                <w:szCs w:val="18"/>
                <w:b w:val="1"/>
                <w:bCs w:val="1"/>
                <w:color w:val="2B4C9B"/>
              </w:rPr>
              <w:t>231,004</w:t>
            </w:r>
          </w:p>
        </w:tc>
        <w:tc>
          <w:tcPr>
            <w:tcW w:w="5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226,236</w:t>
            </w:r>
          </w:p>
        </w:tc>
      </w:tr>
      <w:tr>
        <w:trPr>
          <w:trHeight w:val="229"/>
        </w:trPr>
        <w:tc>
          <w:tcPr>
            <w:tcW w:w="7740" w:type="dxa"/>
            <w:vAlign w:val="bottom"/>
            <w:shd w:val="clear" w:color="auto" w:fill="CFF0FC"/>
          </w:tcPr>
          <w:p>
            <w:pPr>
              <w:ind w:left="360"/>
              <w:spacing w:after="0"/>
              <w:rPr>
                <w:sz w:val="20"/>
                <w:szCs w:val="20"/>
                <w:color w:val="auto"/>
              </w:rPr>
            </w:pPr>
            <w:r>
              <w:rPr>
                <w:rFonts w:ascii="Arial" w:cs="Arial" w:eastAsia="Arial" w:hAnsi="Arial"/>
                <w:sz w:val="18"/>
                <w:szCs w:val="18"/>
                <w:color w:val="auto"/>
              </w:rPr>
              <w:t>Employer</w:t>
            </w:r>
          </w:p>
        </w:tc>
        <w:tc>
          <w:tcPr>
            <w:tcW w:w="46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74"/>
              <w:spacing w:after="0"/>
              <w:rPr>
                <w:sz w:val="20"/>
                <w:szCs w:val="20"/>
                <w:color w:val="auto"/>
              </w:rPr>
            </w:pPr>
            <w:r>
              <w:rPr>
                <w:rFonts w:ascii="Arial" w:cs="Arial" w:eastAsia="Arial" w:hAnsi="Arial"/>
                <w:sz w:val="18"/>
                <w:szCs w:val="18"/>
                <w:b w:val="1"/>
                <w:bCs w:val="1"/>
                <w:color w:val="2B4C9B"/>
              </w:rPr>
              <w:t>87,938</w:t>
            </w:r>
          </w:p>
        </w:tc>
        <w:tc>
          <w:tcPr>
            <w:tcW w:w="5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85,922</w:t>
            </w:r>
          </w:p>
        </w:tc>
      </w:tr>
      <w:tr>
        <w:trPr>
          <w:trHeight w:val="230"/>
        </w:trPr>
        <w:tc>
          <w:tcPr>
            <w:tcW w:w="7740" w:type="dxa"/>
            <w:vAlign w:val="bottom"/>
            <w:tcBorders>
              <w:bottom w:val="single" w:sz="8" w:color="2B4C9B"/>
            </w:tcBorders>
          </w:tcPr>
          <w:p>
            <w:pPr>
              <w:ind w:left="360"/>
              <w:spacing w:after="0"/>
              <w:rPr>
                <w:sz w:val="20"/>
                <w:szCs w:val="20"/>
                <w:color w:val="auto"/>
              </w:rPr>
            </w:pPr>
            <w:r>
              <w:rPr>
                <w:rFonts w:ascii="Arial" w:cs="Arial" w:eastAsia="Arial" w:hAnsi="Arial"/>
                <w:sz w:val="18"/>
                <w:szCs w:val="18"/>
                <w:color w:val="auto"/>
              </w:rPr>
              <w:t>Participant rollovers</w:t>
            </w:r>
          </w:p>
        </w:tc>
        <w:tc>
          <w:tcPr>
            <w:tcW w:w="460" w:type="dxa"/>
            <w:vAlign w:val="bottom"/>
            <w:tcBorders>
              <w:bottom w:val="single" w:sz="8" w:color="2B4C9B"/>
            </w:tcBorders>
          </w:tcPr>
          <w:p>
            <w:pPr>
              <w:spacing w:after="0"/>
              <w:rPr>
                <w:sz w:val="19"/>
                <w:szCs w:val="19"/>
                <w:color w:val="auto"/>
              </w:rPr>
            </w:pPr>
          </w:p>
        </w:tc>
        <w:tc>
          <w:tcPr>
            <w:tcW w:w="1360" w:type="dxa"/>
            <w:vAlign w:val="bottom"/>
            <w:tcBorders>
              <w:bottom w:val="single" w:sz="8" w:color="2B4C9B"/>
            </w:tcBorders>
          </w:tcPr>
          <w:p>
            <w:pPr>
              <w:jc w:val="right"/>
              <w:ind w:right="74"/>
              <w:spacing w:after="0"/>
              <w:rPr>
                <w:sz w:val="20"/>
                <w:szCs w:val="20"/>
                <w:color w:val="auto"/>
              </w:rPr>
            </w:pPr>
            <w:r>
              <w:rPr>
                <w:rFonts w:ascii="Arial" w:cs="Arial" w:eastAsia="Arial" w:hAnsi="Arial"/>
                <w:sz w:val="18"/>
                <w:szCs w:val="18"/>
                <w:b w:val="1"/>
                <w:bCs w:val="1"/>
                <w:color w:val="2B4C9B"/>
              </w:rPr>
              <w:t>59,648</w:t>
            </w:r>
          </w:p>
        </w:tc>
        <w:tc>
          <w:tcPr>
            <w:tcW w:w="580" w:type="dxa"/>
            <w:vAlign w:val="bottom"/>
            <w:tcBorders>
              <w:bottom w:val="single" w:sz="8" w:color="2B4C9B"/>
            </w:tcBorders>
          </w:tcPr>
          <w:p>
            <w:pPr>
              <w:spacing w:after="0"/>
              <w:rPr>
                <w:sz w:val="19"/>
                <w:szCs w:val="19"/>
                <w:color w:val="auto"/>
              </w:rPr>
            </w:pPr>
          </w:p>
        </w:tc>
        <w:tc>
          <w:tcPr>
            <w:tcW w:w="1100" w:type="dxa"/>
            <w:vAlign w:val="bottom"/>
            <w:tcBorders>
              <w:bottom w:val="single" w:sz="8" w:color="2B4C9B"/>
            </w:tcBorders>
          </w:tcPr>
          <w:p>
            <w:pPr>
              <w:jc w:val="right"/>
              <w:spacing w:after="0"/>
              <w:rPr>
                <w:sz w:val="20"/>
                <w:szCs w:val="20"/>
                <w:color w:val="auto"/>
              </w:rPr>
            </w:pPr>
            <w:r>
              <w:rPr>
                <w:rFonts w:ascii="Arial" w:cs="Arial" w:eastAsia="Arial" w:hAnsi="Arial"/>
                <w:sz w:val="18"/>
                <w:szCs w:val="18"/>
                <w:color w:val="auto"/>
              </w:rPr>
              <w:t>52,656</w:t>
            </w:r>
          </w:p>
        </w:tc>
      </w:tr>
      <w:tr>
        <w:trPr>
          <w:trHeight w:val="223"/>
        </w:trPr>
        <w:tc>
          <w:tcPr>
            <w:tcW w:w="7740" w:type="dxa"/>
            <w:vAlign w:val="bottom"/>
            <w:tcBorders>
              <w:bottom w:val="single" w:sz="8" w:color="2B4C9B"/>
            </w:tcBorders>
            <w:shd w:val="clear" w:color="auto" w:fill="CFF0FC"/>
          </w:tcPr>
          <w:p>
            <w:pPr>
              <w:ind w:left="700"/>
              <w:spacing w:after="0"/>
              <w:rPr>
                <w:sz w:val="20"/>
                <w:szCs w:val="20"/>
                <w:color w:val="auto"/>
              </w:rPr>
            </w:pPr>
            <w:r>
              <w:rPr>
                <w:rFonts w:ascii="Arial" w:cs="Arial" w:eastAsia="Arial" w:hAnsi="Arial"/>
                <w:sz w:val="18"/>
                <w:szCs w:val="18"/>
                <w:color w:val="auto"/>
              </w:rPr>
              <w:t>Total contributions</w:t>
            </w:r>
          </w:p>
        </w:tc>
        <w:tc>
          <w:tcPr>
            <w:tcW w:w="460" w:type="dxa"/>
            <w:vAlign w:val="bottom"/>
            <w:tcBorders>
              <w:bottom w:val="single" w:sz="8" w:color="2B4C9B"/>
            </w:tcBorders>
            <w:shd w:val="clear" w:color="auto" w:fill="CFF0FC"/>
          </w:tcPr>
          <w:p>
            <w:pPr>
              <w:spacing w:after="0"/>
              <w:rPr>
                <w:sz w:val="19"/>
                <w:szCs w:val="19"/>
                <w:color w:val="auto"/>
              </w:rPr>
            </w:pPr>
          </w:p>
        </w:tc>
        <w:tc>
          <w:tcPr>
            <w:tcW w:w="1360" w:type="dxa"/>
            <w:vAlign w:val="bottom"/>
            <w:tcBorders>
              <w:bottom w:val="single" w:sz="8" w:color="2B4C9B"/>
            </w:tcBorders>
            <w:shd w:val="clear" w:color="auto" w:fill="CFF0FC"/>
          </w:tcPr>
          <w:p>
            <w:pPr>
              <w:jc w:val="right"/>
              <w:ind w:right="74"/>
              <w:spacing w:after="0"/>
              <w:rPr>
                <w:sz w:val="20"/>
                <w:szCs w:val="20"/>
                <w:color w:val="auto"/>
              </w:rPr>
            </w:pPr>
            <w:r>
              <w:rPr>
                <w:rFonts w:ascii="Arial" w:cs="Arial" w:eastAsia="Arial" w:hAnsi="Arial"/>
                <w:sz w:val="18"/>
                <w:szCs w:val="18"/>
                <w:b w:val="1"/>
                <w:bCs w:val="1"/>
                <w:color w:val="2B4C9B"/>
              </w:rPr>
              <w:t>378,590</w:t>
            </w:r>
          </w:p>
        </w:tc>
        <w:tc>
          <w:tcPr>
            <w:tcW w:w="580" w:type="dxa"/>
            <w:vAlign w:val="bottom"/>
            <w:tcBorders>
              <w:bottom w:val="single" w:sz="8" w:color="2B4C9B"/>
            </w:tcBorders>
            <w:shd w:val="clear" w:color="auto" w:fill="CFF0FC"/>
          </w:tcPr>
          <w:p>
            <w:pPr>
              <w:spacing w:after="0"/>
              <w:rPr>
                <w:sz w:val="19"/>
                <w:szCs w:val="19"/>
                <w:color w:val="auto"/>
              </w:rPr>
            </w:pPr>
          </w:p>
        </w:tc>
        <w:tc>
          <w:tcPr>
            <w:tcW w:w="110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color w:val="auto"/>
              </w:rPr>
              <w:t>364,814</w:t>
            </w:r>
          </w:p>
        </w:tc>
      </w:tr>
      <w:tr>
        <w:trPr>
          <w:trHeight w:val="237"/>
        </w:trPr>
        <w:tc>
          <w:tcPr>
            <w:tcW w:w="77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2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DEDUCTIONS:</w:t>
            </w:r>
          </w:p>
        </w:tc>
        <w:tc>
          <w:tcPr>
            <w:tcW w:w="46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r>
      <w:tr>
        <w:trPr>
          <w:trHeight w:val="230"/>
        </w:trPr>
        <w:tc>
          <w:tcPr>
            <w:tcW w:w="7740" w:type="dxa"/>
            <w:vAlign w:val="bottom"/>
          </w:tcPr>
          <w:p>
            <w:pPr>
              <w:ind w:left="360"/>
              <w:spacing w:after="0"/>
              <w:rPr>
                <w:sz w:val="20"/>
                <w:szCs w:val="20"/>
                <w:color w:val="auto"/>
              </w:rPr>
            </w:pPr>
            <w:r>
              <w:rPr>
                <w:rFonts w:ascii="Arial" w:cs="Arial" w:eastAsia="Arial" w:hAnsi="Arial"/>
                <w:sz w:val="18"/>
                <w:szCs w:val="18"/>
                <w:color w:val="auto"/>
              </w:rPr>
              <w:t>Distributions paid to participants</w:t>
            </w:r>
          </w:p>
        </w:tc>
        <w:tc>
          <w:tcPr>
            <w:tcW w:w="460" w:type="dxa"/>
            <w:vAlign w:val="bottom"/>
          </w:tcPr>
          <w:p>
            <w:pPr>
              <w:spacing w:after="0"/>
              <w:rPr>
                <w:sz w:val="19"/>
                <w:szCs w:val="19"/>
                <w:color w:val="auto"/>
              </w:rPr>
            </w:pPr>
          </w:p>
        </w:tc>
        <w:tc>
          <w:tcPr>
            <w:tcW w:w="1360" w:type="dxa"/>
            <w:vAlign w:val="bottom"/>
          </w:tcPr>
          <w:p>
            <w:pPr>
              <w:jc w:val="right"/>
              <w:ind w:right="74"/>
              <w:spacing w:after="0"/>
              <w:rPr>
                <w:sz w:val="20"/>
                <w:szCs w:val="20"/>
                <w:color w:val="auto"/>
              </w:rPr>
            </w:pPr>
            <w:r>
              <w:rPr>
                <w:rFonts w:ascii="Arial" w:cs="Arial" w:eastAsia="Arial" w:hAnsi="Arial"/>
                <w:sz w:val="18"/>
                <w:szCs w:val="18"/>
                <w:b w:val="1"/>
                <w:bCs w:val="1"/>
                <w:color w:val="2B4C9B"/>
              </w:rPr>
              <w:t>651,510</w:t>
            </w:r>
          </w:p>
        </w:tc>
        <w:tc>
          <w:tcPr>
            <w:tcW w:w="5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573,201</w:t>
            </w:r>
          </w:p>
        </w:tc>
      </w:tr>
      <w:tr>
        <w:trPr>
          <w:trHeight w:val="229"/>
        </w:trPr>
        <w:tc>
          <w:tcPr>
            <w:tcW w:w="7740" w:type="dxa"/>
            <w:vAlign w:val="bottom"/>
            <w:tcBorders>
              <w:bottom w:val="single" w:sz="8" w:color="2B4C9B"/>
            </w:tcBorders>
            <w:shd w:val="clear" w:color="auto" w:fill="CFF0FC"/>
          </w:tcPr>
          <w:p>
            <w:pPr>
              <w:ind w:left="360"/>
              <w:spacing w:after="0"/>
              <w:rPr>
                <w:sz w:val="20"/>
                <w:szCs w:val="20"/>
                <w:color w:val="auto"/>
              </w:rPr>
            </w:pPr>
            <w:r>
              <w:rPr>
                <w:rFonts w:ascii="Arial" w:cs="Arial" w:eastAsia="Arial" w:hAnsi="Arial"/>
                <w:sz w:val="18"/>
                <w:szCs w:val="18"/>
                <w:color w:val="auto"/>
              </w:rPr>
              <w:t>Administrative expenses</w:t>
            </w:r>
          </w:p>
        </w:tc>
        <w:tc>
          <w:tcPr>
            <w:tcW w:w="460" w:type="dxa"/>
            <w:vAlign w:val="bottom"/>
            <w:tcBorders>
              <w:bottom w:val="single" w:sz="8" w:color="2B4C9B"/>
            </w:tcBorders>
            <w:shd w:val="clear" w:color="auto" w:fill="CFF0FC"/>
          </w:tcPr>
          <w:p>
            <w:pPr>
              <w:spacing w:after="0"/>
              <w:rPr>
                <w:sz w:val="19"/>
                <w:szCs w:val="19"/>
                <w:color w:val="auto"/>
              </w:rPr>
            </w:pPr>
          </w:p>
        </w:tc>
        <w:tc>
          <w:tcPr>
            <w:tcW w:w="1360" w:type="dxa"/>
            <w:vAlign w:val="bottom"/>
            <w:tcBorders>
              <w:bottom w:val="single" w:sz="8" w:color="2B4C9B"/>
            </w:tcBorders>
            <w:shd w:val="clear" w:color="auto" w:fill="CFF0FC"/>
          </w:tcPr>
          <w:p>
            <w:pPr>
              <w:jc w:val="right"/>
              <w:ind w:right="74"/>
              <w:spacing w:after="0"/>
              <w:rPr>
                <w:sz w:val="20"/>
                <w:szCs w:val="20"/>
                <w:color w:val="auto"/>
              </w:rPr>
            </w:pPr>
            <w:r>
              <w:rPr>
                <w:rFonts w:ascii="Arial" w:cs="Arial" w:eastAsia="Arial" w:hAnsi="Arial"/>
                <w:sz w:val="18"/>
                <w:szCs w:val="18"/>
                <w:b w:val="1"/>
                <w:bCs w:val="1"/>
                <w:color w:val="2B4C9B"/>
              </w:rPr>
              <w:t>2,923</w:t>
            </w:r>
          </w:p>
        </w:tc>
        <w:tc>
          <w:tcPr>
            <w:tcW w:w="580" w:type="dxa"/>
            <w:vAlign w:val="bottom"/>
            <w:tcBorders>
              <w:bottom w:val="single" w:sz="8" w:color="2B4C9B"/>
            </w:tcBorders>
            <w:shd w:val="clear" w:color="auto" w:fill="CFF0FC"/>
          </w:tcPr>
          <w:p>
            <w:pPr>
              <w:spacing w:after="0"/>
              <w:rPr>
                <w:sz w:val="19"/>
                <w:szCs w:val="19"/>
                <w:color w:val="auto"/>
              </w:rPr>
            </w:pPr>
          </w:p>
        </w:tc>
        <w:tc>
          <w:tcPr>
            <w:tcW w:w="110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color w:val="auto"/>
              </w:rPr>
              <w:t>2,900</w:t>
            </w:r>
          </w:p>
        </w:tc>
      </w:tr>
      <w:tr>
        <w:trPr>
          <w:trHeight w:val="223"/>
        </w:trPr>
        <w:tc>
          <w:tcPr>
            <w:tcW w:w="7740" w:type="dxa"/>
            <w:vAlign w:val="bottom"/>
            <w:tcBorders>
              <w:bottom w:val="single" w:sz="8" w:color="2B4C9B"/>
            </w:tcBorders>
          </w:tcPr>
          <w:p>
            <w:pPr>
              <w:ind w:left="700"/>
              <w:spacing w:after="0"/>
              <w:rPr>
                <w:sz w:val="20"/>
                <w:szCs w:val="20"/>
                <w:color w:val="auto"/>
              </w:rPr>
            </w:pPr>
            <w:r>
              <w:rPr>
                <w:rFonts w:ascii="Arial" w:cs="Arial" w:eastAsia="Arial" w:hAnsi="Arial"/>
                <w:sz w:val="18"/>
                <w:szCs w:val="18"/>
                <w:color w:val="auto"/>
              </w:rPr>
              <w:t>Total deductions</w:t>
            </w:r>
          </w:p>
        </w:tc>
        <w:tc>
          <w:tcPr>
            <w:tcW w:w="460" w:type="dxa"/>
            <w:vAlign w:val="bottom"/>
            <w:tcBorders>
              <w:bottom w:val="single" w:sz="8" w:color="2B4C9B"/>
            </w:tcBorders>
          </w:tcPr>
          <w:p>
            <w:pPr>
              <w:spacing w:after="0"/>
              <w:rPr>
                <w:sz w:val="19"/>
                <w:szCs w:val="19"/>
                <w:color w:val="auto"/>
              </w:rPr>
            </w:pPr>
          </w:p>
        </w:tc>
        <w:tc>
          <w:tcPr>
            <w:tcW w:w="1360" w:type="dxa"/>
            <w:vAlign w:val="bottom"/>
            <w:tcBorders>
              <w:bottom w:val="single" w:sz="8" w:color="2B4C9B"/>
            </w:tcBorders>
          </w:tcPr>
          <w:p>
            <w:pPr>
              <w:jc w:val="right"/>
              <w:ind w:right="74"/>
              <w:spacing w:after="0"/>
              <w:rPr>
                <w:sz w:val="20"/>
                <w:szCs w:val="20"/>
                <w:color w:val="auto"/>
              </w:rPr>
            </w:pPr>
            <w:r>
              <w:rPr>
                <w:rFonts w:ascii="Arial" w:cs="Arial" w:eastAsia="Arial" w:hAnsi="Arial"/>
                <w:sz w:val="18"/>
                <w:szCs w:val="18"/>
                <w:b w:val="1"/>
                <w:bCs w:val="1"/>
                <w:color w:val="2B4C9B"/>
              </w:rPr>
              <w:t>654,433</w:t>
            </w:r>
          </w:p>
        </w:tc>
        <w:tc>
          <w:tcPr>
            <w:tcW w:w="580" w:type="dxa"/>
            <w:vAlign w:val="bottom"/>
            <w:tcBorders>
              <w:bottom w:val="single" w:sz="8" w:color="2B4C9B"/>
            </w:tcBorders>
          </w:tcPr>
          <w:p>
            <w:pPr>
              <w:spacing w:after="0"/>
              <w:rPr>
                <w:sz w:val="19"/>
                <w:szCs w:val="19"/>
                <w:color w:val="auto"/>
              </w:rPr>
            </w:pPr>
          </w:p>
        </w:tc>
        <w:tc>
          <w:tcPr>
            <w:tcW w:w="1100" w:type="dxa"/>
            <w:vAlign w:val="bottom"/>
            <w:tcBorders>
              <w:bottom w:val="single" w:sz="8" w:color="2B4C9B"/>
            </w:tcBorders>
          </w:tcPr>
          <w:p>
            <w:pPr>
              <w:jc w:val="right"/>
              <w:spacing w:after="0"/>
              <w:rPr>
                <w:sz w:val="20"/>
                <w:szCs w:val="20"/>
                <w:color w:val="auto"/>
              </w:rPr>
            </w:pPr>
            <w:r>
              <w:rPr>
                <w:rFonts w:ascii="Arial" w:cs="Arial" w:eastAsia="Arial" w:hAnsi="Arial"/>
                <w:sz w:val="18"/>
                <w:szCs w:val="18"/>
                <w:color w:val="auto"/>
              </w:rPr>
              <w:t>576,101</w:t>
            </w:r>
          </w:p>
        </w:tc>
      </w:tr>
      <w:tr>
        <w:trPr>
          <w:trHeight w:val="236"/>
        </w:trPr>
        <w:tc>
          <w:tcPr>
            <w:tcW w:w="774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r>
      <w:tr>
        <w:trPr>
          <w:trHeight w:val="230"/>
        </w:trPr>
        <w:tc>
          <w:tcPr>
            <w:tcW w:w="7740" w:type="dxa"/>
            <w:vAlign w:val="bottom"/>
          </w:tcPr>
          <w:p>
            <w:pPr>
              <w:ind w:left="20"/>
              <w:spacing w:after="0"/>
              <w:rPr>
                <w:sz w:val="20"/>
                <w:szCs w:val="20"/>
                <w:color w:val="auto"/>
              </w:rPr>
            </w:pPr>
            <w:r>
              <w:rPr>
                <w:rFonts w:ascii="Arial" w:cs="Arial" w:eastAsia="Arial" w:hAnsi="Arial"/>
                <w:sz w:val="18"/>
                <w:szCs w:val="18"/>
                <w:color w:val="auto"/>
              </w:rPr>
              <w:t>INCREASE IN NET ASSETS AVAILABLE FOR BENEFITS BEFORE TRANSFERS</w:t>
            </w:r>
          </w:p>
        </w:tc>
        <w:tc>
          <w:tcPr>
            <w:tcW w:w="460" w:type="dxa"/>
            <w:vAlign w:val="bottom"/>
          </w:tcPr>
          <w:p>
            <w:pPr>
              <w:spacing w:after="0"/>
              <w:rPr>
                <w:sz w:val="19"/>
                <w:szCs w:val="19"/>
                <w:color w:val="auto"/>
              </w:rPr>
            </w:pPr>
          </w:p>
        </w:tc>
        <w:tc>
          <w:tcPr>
            <w:tcW w:w="1360" w:type="dxa"/>
            <w:vAlign w:val="bottom"/>
          </w:tcPr>
          <w:p>
            <w:pPr>
              <w:jc w:val="right"/>
              <w:ind w:right="74"/>
              <w:spacing w:after="0"/>
              <w:rPr>
                <w:sz w:val="20"/>
                <w:szCs w:val="20"/>
                <w:color w:val="auto"/>
              </w:rPr>
            </w:pPr>
            <w:r>
              <w:rPr>
                <w:rFonts w:ascii="Arial" w:cs="Arial" w:eastAsia="Arial" w:hAnsi="Arial"/>
                <w:sz w:val="18"/>
                <w:szCs w:val="18"/>
                <w:b w:val="1"/>
                <w:bCs w:val="1"/>
                <w:color w:val="2B4C9B"/>
              </w:rPr>
              <w:t>567,793</w:t>
            </w:r>
          </w:p>
        </w:tc>
        <w:tc>
          <w:tcPr>
            <w:tcW w:w="5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402,378</w:t>
            </w:r>
          </w:p>
        </w:tc>
      </w:tr>
      <w:tr>
        <w:trPr>
          <w:trHeight w:val="256"/>
        </w:trPr>
        <w:tc>
          <w:tcPr>
            <w:tcW w:w="774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r>
      <w:tr>
        <w:trPr>
          <w:trHeight w:val="230"/>
        </w:trPr>
        <w:tc>
          <w:tcPr>
            <w:tcW w:w="7740" w:type="dxa"/>
            <w:vAlign w:val="bottom"/>
            <w:tcBorders>
              <w:bottom w:val="single" w:sz="8" w:color="2B4C9B"/>
            </w:tcBorders>
          </w:tcPr>
          <w:p>
            <w:pPr>
              <w:ind w:left="20"/>
              <w:spacing w:after="0"/>
              <w:rPr>
                <w:sz w:val="20"/>
                <w:szCs w:val="20"/>
                <w:color w:val="auto"/>
              </w:rPr>
            </w:pPr>
            <w:r>
              <w:rPr>
                <w:rFonts w:ascii="Arial" w:cs="Arial" w:eastAsia="Arial" w:hAnsi="Arial"/>
                <w:sz w:val="18"/>
                <w:szCs w:val="18"/>
                <w:color w:val="auto"/>
              </w:rPr>
              <w:t>NET TRANSFERS FROM OTHER PLAN</w:t>
            </w:r>
          </w:p>
        </w:tc>
        <w:tc>
          <w:tcPr>
            <w:tcW w:w="460" w:type="dxa"/>
            <w:vAlign w:val="bottom"/>
            <w:tcBorders>
              <w:bottom w:val="single" w:sz="8" w:color="2B4C9B"/>
            </w:tcBorders>
          </w:tcPr>
          <w:p>
            <w:pPr>
              <w:spacing w:after="0"/>
              <w:rPr>
                <w:sz w:val="19"/>
                <w:szCs w:val="19"/>
                <w:color w:val="auto"/>
              </w:rPr>
            </w:pPr>
          </w:p>
        </w:tc>
        <w:tc>
          <w:tcPr>
            <w:tcW w:w="1360" w:type="dxa"/>
            <w:vAlign w:val="bottom"/>
            <w:tcBorders>
              <w:bottom w:val="single" w:sz="8" w:color="2B4C9B"/>
            </w:tcBorders>
          </w:tcPr>
          <w:p>
            <w:pPr>
              <w:jc w:val="right"/>
              <w:ind w:right="74"/>
              <w:spacing w:after="0"/>
              <w:rPr>
                <w:sz w:val="20"/>
                <w:szCs w:val="20"/>
                <w:color w:val="auto"/>
              </w:rPr>
            </w:pPr>
            <w:r>
              <w:rPr>
                <w:rFonts w:ascii="Arial" w:cs="Arial" w:eastAsia="Arial" w:hAnsi="Arial"/>
                <w:sz w:val="18"/>
                <w:szCs w:val="18"/>
                <w:b w:val="1"/>
                <w:bCs w:val="1"/>
                <w:color w:val="2B4C9B"/>
              </w:rPr>
              <w:t>—</w:t>
            </w:r>
          </w:p>
        </w:tc>
        <w:tc>
          <w:tcPr>
            <w:tcW w:w="580" w:type="dxa"/>
            <w:vAlign w:val="bottom"/>
            <w:tcBorders>
              <w:bottom w:val="single" w:sz="8" w:color="2B4C9B"/>
            </w:tcBorders>
          </w:tcPr>
          <w:p>
            <w:pPr>
              <w:spacing w:after="0"/>
              <w:rPr>
                <w:sz w:val="19"/>
                <w:szCs w:val="19"/>
                <w:color w:val="auto"/>
              </w:rPr>
            </w:pPr>
          </w:p>
        </w:tc>
        <w:tc>
          <w:tcPr>
            <w:tcW w:w="1100" w:type="dxa"/>
            <w:vAlign w:val="bottom"/>
            <w:tcBorders>
              <w:bottom w:val="single" w:sz="8" w:color="2B4C9B"/>
            </w:tcBorders>
          </w:tcPr>
          <w:p>
            <w:pPr>
              <w:jc w:val="right"/>
              <w:spacing w:after="0"/>
              <w:rPr>
                <w:sz w:val="20"/>
                <w:szCs w:val="20"/>
                <w:color w:val="auto"/>
              </w:rPr>
            </w:pPr>
            <w:r>
              <w:rPr>
                <w:rFonts w:ascii="Arial" w:cs="Arial" w:eastAsia="Arial" w:hAnsi="Arial"/>
                <w:sz w:val="18"/>
                <w:szCs w:val="18"/>
                <w:color w:val="auto"/>
              </w:rPr>
              <w:t>3,319</w:t>
            </w:r>
          </w:p>
        </w:tc>
      </w:tr>
      <w:tr>
        <w:trPr>
          <w:trHeight w:val="237"/>
        </w:trPr>
        <w:tc>
          <w:tcPr>
            <w:tcW w:w="77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29"/>
        </w:trPr>
        <w:tc>
          <w:tcPr>
            <w:tcW w:w="7740" w:type="dxa"/>
            <w:vAlign w:val="bottom"/>
          </w:tcPr>
          <w:p>
            <w:pPr>
              <w:ind w:left="20"/>
              <w:spacing w:after="0"/>
              <w:rPr>
                <w:sz w:val="20"/>
                <w:szCs w:val="20"/>
                <w:color w:val="auto"/>
              </w:rPr>
            </w:pPr>
            <w:r>
              <w:rPr>
                <w:rFonts w:ascii="Arial" w:cs="Arial" w:eastAsia="Arial" w:hAnsi="Arial"/>
                <w:sz w:val="18"/>
                <w:szCs w:val="18"/>
                <w:color w:val="auto"/>
              </w:rPr>
              <w:t>INCREASE IN NET ASSETS AVAILABLE FOR BENEFITS</w:t>
            </w:r>
          </w:p>
        </w:tc>
        <w:tc>
          <w:tcPr>
            <w:tcW w:w="460" w:type="dxa"/>
            <w:vAlign w:val="bottom"/>
          </w:tcPr>
          <w:p>
            <w:pPr>
              <w:spacing w:after="0"/>
              <w:rPr>
                <w:sz w:val="19"/>
                <w:szCs w:val="19"/>
                <w:color w:val="auto"/>
              </w:rPr>
            </w:pPr>
          </w:p>
        </w:tc>
        <w:tc>
          <w:tcPr>
            <w:tcW w:w="1360" w:type="dxa"/>
            <w:vAlign w:val="bottom"/>
          </w:tcPr>
          <w:p>
            <w:pPr>
              <w:jc w:val="right"/>
              <w:ind w:right="74"/>
              <w:spacing w:after="0"/>
              <w:rPr>
                <w:sz w:val="20"/>
                <w:szCs w:val="20"/>
                <w:color w:val="auto"/>
              </w:rPr>
            </w:pPr>
            <w:r>
              <w:rPr>
                <w:rFonts w:ascii="Arial" w:cs="Arial" w:eastAsia="Arial" w:hAnsi="Arial"/>
                <w:sz w:val="18"/>
                <w:szCs w:val="18"/>
                <w:b w:val="1"/>
                <w:bCs w:val="1"/>
                <w:color w:val="2B4C9B"/>
              </w:rPr>
              <w:t>567,793</w:t>
            </w:r>
          </w:p>
        </w:tc>
        <w:tc>
          <w:tcPr>
            <w:tcW w:w="5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405,697</w:t>
            </w:r>
          </w:p>
        </w:tc>
      </w:tr>
      <w:tr>
        <w:trPr>
          <w:trHeight w:val="257"/>
        </w:trPr>
        <w:tc>
          <w:tcPr>
            <w:tcW w:w="774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r>
      <w:tr>
        <w:trPr>
          <w:trHeight w:val="230"/>
        </w:trPr>
        <w:tc>
          <w:tcPr>
            <w:tcW w:w="7740" w:type="dxa"/>
            <w:vAlign w:val="bottom"/>
          </w:tcPr>
          <w:p>
            <w:pPr>
              <w:ind w:left="20"/>
              <w:spacing w:after="0"/>
              <w:rPr>
                <w:sz w:val="20"/>
                <w:szCs w:val="20"/>
                <w:color w:val="auto"/>
              </w:rPr>
            </w:pPr>
            <w:r>
              <w:rPr>
                <w:rFonts w:ascii="Arial" w:cs="Arial" w:eastAsia="Arial" w:hAnsi="Arial"/>
                <w:sz w:val="18"/>
                <w:szCs w:val="18"/>
                <w:color w:val="auto"/>
              </w:rPr>
              <w:t>NET ASSETS AVAILABLE FOR BENEFITS:</w:t>
            </w:r>
          </w:p>
        </w:tc>
        <w:tc>
          <w:tcPr>
            <w:tcW w:w="4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7740" w:type="dxa"/>
            <w:vAlign w:val="bottom"/>
            <w:tcBorders>
              <w:bottom w:val="single" w:sz="8" w:color="2B4C9B"/>
            </w:tcBorders>
            <w:shd w:val="clear" w:color="auto" w:fill="CCEEFF"/>
          </w:tcPr>
          <w:p>
            <w:pPr>
              <w:ind w:left="360"/>
              <w:spacing w:after="0"/>
              <w:rPr>
                <w:sz w:val="20"/>
                <w:szCs w:val="20"/>
                <w:color w:val="auto"/>
              </w:rPr>
            </w:pPr>
            <w:r>
              <w:rPr>
                <w:rFonts w:ascii="Arial" w:cs="Arial" w:eastAsia="Arial" w:hAnsi="Arial"/>
                <w:sz w:val="18"/>
                <w:szCs w:val="18"/>
                <w:color w:val="auto"/>
              </w:rPr>
              <w:t>Beginning of year</w:t>
            </w:r>
          </w:p>
        </w:tc>
        <w:tc>
          <w:tcPr>
            <w:tcW w:w="460" w:type="dxa"/>
            <w:vAlign w:val="bottom"/>
            <w:tcBorders>
              <w:bottom w:val="single" w:sz="8" w:color="2B4C9B"/>
            </w:tcBorders>
            <w:shd w:val="clear" w:color="auto" w:fill="CCEEFF"/>
          </w:tcPr>
          <w:p>
            <w:pPr>
              <w:spacing w:after="0"/>
              <w:rPr>
                <w:sz w:val="19"/>
                <w:szCs w:val="19"/>
                <w:color w:val="auto"/>
              </w:rPr>
            </w:pPr>
          </w:p>
        </w:tc>
        <w:tc>
          <w:tcPr>
            <w:tcW w:w="1360" w:type="dxa"/>
            <w:vAlign w:val="bottom"/>
            <w:tcBorders>
              <w:bottom w:val="single" w:sz="8" w:color="2B4C9B"/>
            </w:tcBorders>
            <w:shd w:val="clear" w:color="auto" w:fill="CCEEFF"/>
          </w:tcPr>
          <w:p>
            <w:pPr>
              <w:jc w:val="right"/>
              <w:ind w:right="74"/>
              <w:spacing w:after="0"/>
              <w:rPr>
                <w:sz w:val="20"/>
                <w:szCs w:val="20"/>
                <w:color w:val="auto"/>
              </w:rPr>
            </w:pPr>
            <w:r>
              <w:rPr>
                <w:rFonts w:ascii="Arial" w:cs="Arial" w:eastAsia="Arial" w:hAnsi="Arial"/>
                <w:sz w:val="18"/>
                <w:szCs w:val="18"/>
                <w:b w:val="1"/>
                <w:bCs w:val="1"/>
                <w:color w:val="2B4C9B"/>
              </w:rPr>
              <w:t>5,420,551</w:t>
            </w:r>
          </w:p>
        </w:tc>
        <w:tc>
          <w:tcPr>
            <w:tcW w:w="580" w:type="dxa"/>
            <w:vAlign w:val="bottom"/>
            <w:tcBorders>
              <w:bottom w:val="single" w:sz="8" w:color="2B4C9B"/>
            </w:tcBorders>
            <w:shd w:val="clear" w:color="auto" w:fill="CCEEFF"/>
          </w:tcPr>
          <w:p>
            <w:pPr>
              <w:spacing w:after="0"/>
              <w:rPr>
                <w:sz w:val="19"/>
                <w:szCs w:val="19"/>
                <w:color w:val="auto"/>
              </w:rPr>
            </w:pPr>
          </w:p>
        </w:tc>
        <w:tc>
          <w:tcPr>
            <w:tcW w:w="1100" w:type="dxa"/>
            <w:vAlign w:val="bottom"/>
            <w:tcBorders>
              <w:bottom w:val="single" w:sz="8" w:color="2B4C9B"/>
            </w:tcBorders>
            <w:shd w:val="clear" w:color="auto" w:fill="CCEEFF"/>
          </w:tcPr>
          <w:p>
            <w:pPr>
              <w:jc w:val="right"/>
              <w:spacing w:after="0"/>
              <w:rPr>
                <w:sz w:val="20"/>
                <w:szCs w:val="20"/>
                <w:color w:val="auto"/>
              </w:rPr>
            </w:pPr>
            <w:r>
              <w:rPr>
                <w:rFonts w:ascii="Arial" w:cs="Arial" w:eastAsia="Arial" w:hAnsi="Arial"/>
                <w:sz w:val="18"/>
                <w:szCs w:val="18"/>
                <w:color w:val="auto"/>
              </w:rPr>
              <w:t>5,014,854</w:t>
            </w:r>
          </w:p>
        </w:tc>
      </w:tr>
      <w:tr>
        <w:trPr>
          <w:trHeight w:val="230"/>
        </w:trPr>
        <w:tc>
          <w:tcPr>
            <w:tcW w:w="7740" w:type="dxa"/>
            <w:vAlign w:val="bottom"/>
            <w:tcBorders>
              <w:bottom w:val="single" w:sz="8" w:color="2B4C9B"/>
            </w:tcBorders>
          </w:tcPr>
          <w:p>
            <w:pPr>
              <w:ind w:left="360"/>
              <w:spacing w:after="0"/>
              <w:rPr>
                <w:sz w:val="20"/>
                <w:szCs w:val="20"/>
                <w:color w:val="auto"/>
              </w:rPr>
            </w:pPr>
            <w:r>
              <w:rPr>
                <w:rFonts w:ascii="Arial" w:cs="Arial" w:eastAsia="Arial" w:hAnsi="Arial"/>
                <w:sz w:val="18"/>
                <w:szCs w:val="18"/>
                <w:color w:val="auto"/>
              </w:rPr>
              <w:t>End of year</w:t>
            </w:r>
          </w:p>
        </w:tc>
        <w:tc>
          <w:tcPr>
            <w:tcW w:w="460" w:type="dxa"/>
            <w:vAlign w:val="bottom"/>
            <w:tcBorders>
              <w:bottom w:val="single" w:sz="8" w:color="2B4C9B"/>
            </w:tcBorders>
          </w:tcPr>
          <w:p>
            <w:pPr>
              <w:jc w:val="right"/>
              <w:ind w:right="250"/>
              <w:spacing w:after="0"/>
              <w:rPr>
                <w:sz w:val="20"/>
                <w:szCs w:val="20"/>
                <w:color w:val="auto"/>
              </w:rPr>
            </w:pPr>
            <w:r>
              <w:rPr>
                <w:rFonts w:ascii="Arial" w:cs="Arial" w:eastAsia="Arial" w:hAnsi="Arial"/>
                <w:sz w:val="18"/>
                <w:szCs w:val="18"/>
                <w:b w:val="1"/>
                <w:bCs w:val="1"/>
                <w:color w:val="2B4C9B"/>
                <w:w w:val="99"/>
              </w:rPr>
              <w:t>$</w:t>
            </w:r>
          </w:p>
        </w:tc>
        <w:tc>
          <w:tcPr>
            <w:tcW w:w="1360" w:type="dxa"/>
            <w:vAlign w:val="bottom"/>
            <w:tcBorders>
              <w:bottom w:val="single" w:sz="8" w:color="2B4C9B"/>
            </w:tcBorders>
          </w:tcPr>
          <w:p>
            <w:pPr>
              <w:jc w:val="right"/>
              <w:ind w:right="74"/>
              <w:spacing w:after="0"/>
              <w:rPr>
                <w:sz w:val="20"/>
                <w:szCs w:val="20"/>
                <w:color w:val="auto"/>
              </w:rPr>
            </w:pPr>
            <w:r>
              <w:rPr>
                <w:rFonts w:ascii="Arial" w:cs="Arial" w:eastAsia="Arial" w:hAnsi="Arial"/>
                <w:sz w:val="18"/>
                <w:szCs w:val="18"/>
                <w:b w:val="1"/>
                <w:bCs w:val="1"/>
                <w:color w:val="2B4C9B"/>
              </w:rPr>
              <w:t>5,988,344</w:t>
            </w:r>
          </w:p>
        </w:tc>
        <w:tc>
          <w:tcPr>
            <w:tcW w:w="580" w:type="dxa"/>
            <w:vAlign w:val="bottom"/>
            <w:tcBorders>
              <w:bottom w:val="single" w:sz="8" w:color="2B4C9B"/>
            </w:tcBorders>
          </w:tcPr>
          <w:p>
            <w:pPr>
              <w:jc w:val="right"/>
              <w:ind w:right="3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2B4C9B"/>
            </w:tcBorders>
          </w:tcPr>
          <w:p>
            <w:pPr>
              <w:jc w:val="right"/>
              <w:spacing w:after="0"/>
              <w:rPr>
                <w:sz w:val="20"/>
                <w:szCs w:val="20"/>
                <w:color w:val="auto"/>
              </w:rPr>
            </w:pPr>
            <w:r>
              <w:rPr>
                <w:rFonts w:ascii="Arial" w:cs="Arial" w:eastAsia="Arial" w:hAnsi="Arial"/>
                <w:sz w:val="18"/>
                <w:szCs w:val="18"/>
                <w:color w:val="auto"/>
              </w:rPr>
              <w:t>5,420,551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financial statements.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2B4C9B"/>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2B4C9B"/>
        </w:rPr>
        <w:t>SCIENCE APPLICATIONS INTERNATIONAL CORPORATION RETIREMENT PLAN</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B4C9B"/>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B4C9B"/>
        </w:rPr>
        <w:t>December 31, 2025 and 2024</w:t>
      </w:r>
    </w:p>
    <w:p>
      <w:pPr>
        <w:spacing w:after="0" w:line="200" w:lineRule="exact"/>
        <w:rPr>
          <w:sz w:val="20"/>
          <w:szCs w:val="20"/>
          <w:color w:val="auto"/>
        </w:rPr>
      </w:pPr>
    </w:p>
    <w:p>
      <w:pPr>
        <w:spacing w:after="0" w:line="277" w:lineRule="exact"/>
        <w:rPr>
          <w:sz w:val="20"/>
          <w:szCs w:val="20"/>
          <w:color w:val="auto"/>
        </w:rPr>
      </w:pPr>
    </w:p>
    <w:p>
      <w:pPr>
        <w:ind w:left="400" w:hanging="392"/>
        <w:spacing w:after="0"/>
        <w:tabs>
          <w:tab w:leader="none" w:pos="400" w:val="left"/>
        </w:tabs>
        <w:numPr>
          <w:ilvl w:val="0"/>
          <w:numId w:val="4"/>
        </w:numPr>
        <w:rPr>
          <w:rFonts w:ascii="Arial" w:cs="Arial" w:eastAsia="Arial" w:hAnsi="Arial"/>
          <w:sz w:val="18"/>
          <w:szCs w:val="18"/>
          <w:b w:val="1"/>
          <w:bCs w:val="1"/>
          <w:color w:val="2B4C9B"/>
        </w:rPr>
      </w:pPr>
      <w:r>
        <w:rPr>
          <w:rFonts w:ascii="Arial" w:cs="Arial" w:eastAsia="Arial" w:hAnsi="Arial"/>
          <w:sz w:val="18"/>
          <w:szCs w:val="18"/>
          <w:b w:val="1"/>
          <w:bCs w:val="1"/>
          <w:color w:val="2B4C9B"/>
        </w:rPr>
        <w:t>DESCRIPTION OF THE PLAN</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following brief description of the Science Applications International Corporation Retirement Plan (the “Plan”) is for general information purposes only. Participants should refer to the Plan document for complete information regarding the Plan. Within these financial statements, Science Applications International Corporation ("SAIC" or "Employer" or the “Company”) refers to the sponsoring employer.</w:t>
      </w:r>
    </w:p>
    <w:p>
      <w:pPr>
        <w:spacing w:after="0" w:line="144" w:lineRule="exact"/>
        <w:rPr>
          <w:sz w:val="20"/>
          <w:szCs w:val="20"/>
          <w:color w:val="auto"/>
        </w:rPr>
      </w:pPr>
    </w:p>
    <w:p>
      <w:pPr>
        <w:jc w:val="both"/>
        <w:ind w:left="460"/>
        <w:spacing w:after="0" w:line="259" w:lineRule="auto"/>
        <w:rPr>
          <w:sz w:val="20"/>
          <w:szCs w:val="20"/>
          <w:color w:val="auto"/>
        </w:rPr>
      </w:pPr>
      <w:r>
        <w:rPr>
          <w:rFonts w:ascii="Arial" w:cs="Arial" w:eastAsia="Arial" w:hAnsi="Arial"/>
          <w:sz w:val="18"/>
          <w:szCs w:val="18"/>
          <w:b w:val="1"/>
          <w:bCs w:val="1"/>
          <w:i w:val="1"/>
          <w:iCs w:val="1"/>
          <w:color w:val="2B4C9B"/>
        </w:rPr>
        <w:t>General</w:t>
      </w:r>
      <w:r>
        <w:rPr>
          <w:rFonts w:ascii="Arial" w:cs="Arial" w:eastAsia="Arial" w:hAnsi="Arial"/>
          <w:sz w:val="18"/>
          <w:szCs w:val="18"/>
          <w:color w:val="000000"/>
        </w:rPr>
        <w:t>—The Plan is a defined contribution plan sponsored by the Company and is subject to the provisions of the Employee</w:t>
      </w:r>
      <w:r>
        <w:rPr>
          <w:rFonts w:ascii="Arial" w:cs="Arial" w:eastAsia="Arial" w:hAnsi="Arial"/>
          <w:sz w:val="18"/>
          <w:szCs w:val="18"/>
          <w:b w:val="1"/>
          <w:bCs w:val="1"/>
          <w:i w:val="1"/>
          <w:iCs w:val="1"/>
          <w:color w:val="2B4C9B"/>
        </w:rPr>
        <w:t xml:space="preserve"> </w:t>
      </w:r>
      <w:r>
        <w:rPr>
          <w:rFonts w:ascii="Arial" w:cs="Arial" w:eastAsia="Arial" w:hAnsi="Arial"/>
          <w:sz w:val="18"/>
          <w:szCs w:val="18"/>
          <w:color w:val="000000"/>
        </w:rPr>
        <w:t>Retirement Income Security Act of 1974, as amended (“ERISA”). The Plan is a 401(k) plan with profit-sharing and employee stock ownership plan (“ESOP”) features. Both participant and Employer contributions to the Plan are held in a qualified retirement trust fund. The Science Applications International Corporation Benefit Plans Committee is the Plan’s named fiduciary for purposes of Section 402(a) of ERISA.</w:t>
      </w:r>
    </w:p>
    <w:p>
      <w:pPr>
        <w:spacing w:after="0" w:line="139" w:lineRule="exact"/>
        <w:rPr>
          <w:sz w:val="20"/>
          <w:szCs w:val="20"/>
          <w:color w:val="auto"/>
        </w:rPr>
      </w:pPr>
    </w:p>
    <w:p>
      <w:pPr>
        <w:jc w:val="both"/>
        <w:ind w:left="460"/>
        <w:spacing w:after="0" w:line="262" w:lineRule="auto"/>
        <w:rPr>
          <w:sz w:val="20"/>
          <w:szCs w:val="20"/>
          <w:color w:val="auto"/>
        </w:rPr>
      </w:pPr>
      <w:r>
        <w:rPr>
          <w:rFonts w:ascii="Arial" w:cs="Arial" w:eastAsia="Arial" w:hAnsi="Arial"/>
          <w:sz w:val="18"/>
          <w:szCs w:val="18"/>
          <w:b w:val="1"/>
          <w:bCs w:val="1"/>
          <w:i w:val="1"/>
          <w:iCs w:val="1"/>
          <w:color w:val="2B4C9B"/>
        </w:rPr>
        <w:t>Eligibility</w:t>
      </w:r>
      <w:r>
        <w:rPr>
          <w:rFonts w:ascii="Arial" w:cs="Arial" w:eastAsia="Arial" w:hAnsi="Arial"/>
          <w:sz w:val="18"/>
          <w:szCs w:val="18"/>
          <w:color w:val="000000"/>
        </w:rPr>
        <w:t>— All employees of the Company, other than those in the ineligible classes outlined in the Plan document, are eligible to</w:t>
      </w:r>
      <w:r>
        <w:rPr>
          <w:rFonts w:ascii="Arial" w:cs="Arial" w:eastAsia="Arial" w:hAnsi="Arial"/>
          <w:sz w:val="18"/>
          <w:szCs w:val="18"/>
          <w:b w:val="1"/>
          <w:bCs w:val="1"/>
          <w:i w:val="1"/>
          <w:iCs w:val="1"/>
          <w:color w:val="2B4C9B"/>
        </w:rPr>
        <w:t xml:space="preserve"> </w:t>
      </w:r>
      <w:r>
        <w:rPr>
          <w:rFonts w:ascii="Arial" w:cs="Arial" w:eastAsia="Arial" w:hAnsi="Arial"/>
          <w:sz w:val="18"/>
          <w:szCs w:val="18"/>
          <w:color w:val="000000"/>
        </w:rPr>
        <w:t>participate in the Plan. Employees must be in an eligible fringe benefit package to be eligible to receive Company matching 401(k) contributions. Generally, employees may make elective contributions and receive Company matching 401(k) contributions upon commencing employment.</w:t>
      </w:r>
    </w:p>
    <w:p>
      <w:pPr>
        <w:spacing w:after="0" w:line="136" w:lineRule="exact"/>
        <w:rPr>
          <w:sz w:val="20"/>
          <w:szCs w:val="20"/>
          <w:color w:val="auto"/>
        </w:rPr>
      </w:pPr>
    </w:p>
    <w:p>
      <w:pPr>
        <w:jc w:val="both"/>
        <w:ind w:left="460"/>
        <w:spacing w:after="0" w:line="259" w:lineRule="auto"/>
        <w:rPr>
          <w:sz w:val="20"/>
          <w:szCs w:val="20"/>
          <w:color w:val="auto"/>
        </w:rPr>
      </w:pPr>
      <w:r>
        <w:rPr>
          <w:rFonts w:ascii="Arial" w:cs="Arial" w:eastAsia="Arial" w:hAnsi="Arial"/>
          <w:sz w:val="18"/>
          <w:szCs w:val="18"/>
          <w:b w:val="1"/>
          <w:bCs w:val="1"/>
          <w:i w:val="1"/>
          <w:iCs w:val="1"/>
          <w:color w:val="2B4C9B"/>
        </w:rPr>
        <w:t>Participant Contributions</w:t>
      </w:r>
      <w:r>
        <w:rPr>
          <w:rFonts w:ascii="Arial" w:cs="Arial" w:eastAsia="Arial" w:hAnsi="Arial"/>
          <w:sz w:val="18"/>
          <w:szCs w:val="18"/>
          <w:color w:val="000000"/>
        </w:rPr>
        <w:t>—The Plan permits participants to contribute up to 75% of their eligible compensation to the Plan, subject to</w:t>
      </w:r>
      <w:r>
        <w:rPr>
          <w:rFonts w:ascii="Arial" w:cs="Arial" w:eastAsia="Arial" w:hAnsi="Arial"/>
          <w:sz w:val="18"/>
          <w:szCs w:val="18"/>
          <w:b w:val="1"/>
          <w:bCs w:val="1"/>
          <w:i w:val="1"/>
          <w:iCs w:val="1"/>
          <w:color w:val="2B4C9B"/>
        </w:rPr>
        <w:t xml:space="preserve"> </w:t>
      </w:r>
      <w:r>
        <w:rPr>
          <w:rFonts w:ascii="Arial" w:cs="Arial" w:eastAsia="Arial" w:hAnsi="Arial"/>
          <w:sz w:val="18"/>
          <w:szCs w:val="18"/>
          <w:color w:val="000000"/>
        </w:rPr>
        <w:t>statutory limitations. Participants may also contribute amounts representing rollovers from other qualified plans. Participant contributions are invested according to participant direction into any of the available investment funds of the Plan. Participant contributions and rollovers to the SAIC Common Stock Fund are limited to a maximum of 50% of the participant deferral or rollover, as applicable.</w:t>
      </w:r>
    </w:p>
    <w:p>
      <w:pPr>
        <w:spacing w:after="0" w:line="152" w:lineRule="exact"/>
        <w:rPr>
          <w:sz w:val="20"/>
          <w:szCs w:val="20"/>
          <w:color w:val="auto"/>
        </w:rPr>
      </w:pPr>
    </w:p>
    <w:p>
      <w:pPr>
        <w:jc w:val="both"/>
        <w:ind w:left="460"/>
        <w:spacing w:after="0" w:line="259" w:lineRule="auto"/>
        <w:rPr>
          <w:sz w:val="20"/>
          <w:szCs w:val="20"/>
          <w:color w:val="auto"/>
        </w:rPr>
      </w:pPr>
      <w:r>
        <w:rPr>
          <w:rFonts w:ascii="Arial" w:cs="Arial" w:eastAsia="Arial" w:hAnsi="Arial"/>
          <w:sz w:val="18"/>
          <w:szCs w:val="18"/>
          <w:b w:val="1"/>
          <w:bCs w:val="1"/>
          <w:i w:val="1"/>
          <w:iCs w:val="1"/>
          <w:color w:val="2B4C9B"/>
        </w:rPr>
        <w:t>Employer Contributions</w:t>
      </w:r>
      <w:r>
        <w:rPr>
          <w:rFonts w:ascii="Arial" w:cs="Arial" w:eastAsia="Arial" w:hAnsi="Arial"/>
          <w:sz w:val="18"/>
          <w:szCs w:val="18"/>
          <w:color w:val="000000"/>
        </w:rPr>
        <w:t>—The Company may make matching 401(k) contributions. Eligible participants may receive Company</w:t>
      </w:r>
      <w:r>
        <w:rPr>
          <w:rFonts w:ascii="Arial" w:cs="Arial" w:eastAsia="Arial" w:hAnsi="Arial"/>
          <w:sz w:val="18"/>
          <w:szCs w:val="18"/>
          <w:b w:val="1"/>
          <w:bCs w:val="1"/>
          <w:i w:val="1"/>
          <w:iCs w:val="1"/>
          <w:color w:val="2B4C9B"/>
        </w:rPr>
        <w:t xml:space="preserve"> </w:t>
      </w:r>
      <w:r>
        <w:rPr>
          <w:rFonts w:ascii="Arial" w:cs="Arial" w:eastAsia="Arial" w:hAnsi="Arial"/>
          <w:sz w:val="18"/>
          <w:szCs w:val="18"/>
          <w:color w:val="000000"/>
        </w:rPr>
        <w:t>matching 401(k) contributions based on a percentage (up to a maximum match percentage of 4%), depending on the fringe benefit package, which are invested per participant direction. The Company, at its discretion, may also make additional contributions to the Plan for the benefit of non-highly compensated participants in order to comply with Section 401(k)(3) of the Internal Revenue Code ("IRC"); however, the Company made no such additional contributions for the Plan years ended December 31, 2025 and 2024.</w:t>
      </w:r>
    </w:p>
    <w:p>
      <w:pPr>
        <w:spacing w:after="0" w:line="139" w:lineRule="exact"/>
        <w:rPr>
          <w:sz w:val="20"/>
          <w:szCs w:val="20"/>
          <w:color w:val="auto"/>
        </w:rPr>
      </w:pPr>
    </w:p>
    <w:p>
      <w:pPr>
        <w:jc w:val="both"/>
        <w:ind w:left="460"/>
        <w:spacing w:after="0" w:line="259" w:lineRule="auto"/>
        <w:rPr>
          <w:sz w:val="20"/>
          <w:szCs w:val="20"/>
          <w:color w:val="auto"/>
        </w:rPr>
      </w:pPr>
      <w:r>
        <w:rPr>
          <w:rFonts w:ascii="Arial" w:cs="Arial" w:eastAsia="Arial" w:hAnsi="Arial"/>
          <w:sz w:val="18"/>
          <w:szCs w:val="18"/>
          <w:b w:val="1"/>
          <w:bCs w:val="1"/>
          <w:i w:val="1"/>
          <w:iCs w:val="1"/>
          <w:color w:val="2B4C9B"/>
        </w:rPr>
        <w:t>Participant Accounts</w:t>
      </w:r>
      <w:r>
        <w:rPr>
          <w:rFonts w:ascii="Arial" w:cs="Arial" w:eastAsia="Arial" w:hAnsi="Arial"/>
          <w:sz w:val="18"/>
          <w:szCs w:val="18"/>
          <w:color w:val="000000"/>
        </w:rPr>
        <w:t>—In accordance with Plan provisions, individual accounts are maintained for each Plan participant. Each</w:t>
      </w:r>
      <w:r>
        <w:rPr>
          <w:rFonts w:ascii="Arial" w:cs="Arial" w:eastAsia="Arial" w:hAnsi="Arial"/>
          <w:sz w:val="18"/>
          <w:szCs w:val="18"/>
          <w:b w:val="1"/>
          <w:bCs w:val="1"/>
          <w:i w:val="1"/>
          <w:iCs w:val="1"/>
          <w:color w:val="2B4C9B"/>
        </w:rPr>
        <w:t xml:space="preserve"> </w:t>
      </w:r>
      <w:r>
        <w:rPr>
          <w:rFonts w:ascii="Arial" w:cs="Arial" w:eastAsia="Arial" w:hAnsi="Arial"/>
          <w:sz w:val="18"/>
          <w:szCs w:val="18"/>
          <w:color w:val="000000"/>
        </w:rPr>
        <w:t>participant’s account is credited with the participant’s contributions, and if eligible, Company contributions, which are based on participant eligible compensation, as defined in the Plan document. Participant accounts also reflect changes from investment income and losses, distributions, and an allocation of a portion of administrative expenses. The benefit to which a participant is entitled is the vested balance of his or her account.</w:t>
      </w:r>
    </w:p>
    <w:p>
      <w:pPr>
        <w:spacing w:after="0" w:line="139" w:lineRule="exact"/>
        <w:rPr>
          <w:sz w:val="20"/>
          <w:szCs w:val="20"/>
          <w:color w:val="auto"/>
        </w:rPr>
      </w:pPr>
    </w:p>
    <w:p>
      <w:pPr>
        <w:jc w:val="both"/>
        <w:ind w:left="460"/>
        <w:spacing w:after="0" w:line="256" w:lineRule="auto"/>
        <w:rPr>
          <w:sz w:val="20"/>
          <w:szCs w:val="20"/>
          <w:color w:val="auto"/>
        </w:rPr>
      </w:pPr>
      <w:r>
        <w:rPr>
          <w:rFonts w:ascii="Arial" w:cs="Arial" w:eastAsia="Arial" w:hAnsi="Arial"/>
          <w:sz w:val="18"/>
          <w:szCs w:val="18"/>
          <w:b w:val="1"/>
          <w:bCs w:val="1"/>
          <w:i w:val="1"/>
          <w:iCs w:val="1"/>
          <w:color w:val="2B4C9B"/>
        </w:rPr>
        <w:t>Investment Funds</w:t>
      </w:r>
      <w:r>
        <w:rPr>
          <w:rFonts w:ascii="Arial" w:cs="Arial" w:eastAsia="Arial" w:hAnsi="Arial"/>
          <w:sz w:val="18"/>
          <w:szCs w:val="18"/>
          <w:color w:val="000000"/>
        </w:rPr>
        <w:t>—As of December 31, 2025 and December 31, 2024, the Plan held investments in a diversified selection of mutual</w:t>
      </w:r>
      <w:r>
        <w:rPr>
          <w:rFonts w:ascii="Arial" w:cs="Arial" w:eastAsia="Arial" w:hAnsi="Arial"/>
          <w:sz w:val="18"/>
          <w:szCs w:val="18"/>
          <w:b w:val="1"/>
          <w:bCs w:val="1"/>
          <w:i w:val="1"/>
          <w:iCs w:val="1"/>
          <w:color w:val="2B4C9B"/>
        </w:rPr>
        <w:t xml:space="preserve"> </w:t>
      </w:r>
      <w:r>
        <w:rPr>
          <w:rFonts w:ascii="Arial" w:cs="Arial" w:eastAsia="Arial" w:hAnsi="Arial"/>
          <w:sz w:val="18"/>
          <w:szCs w:val="18"/>
          <w:color w:val="000000"/>
        </w:rPr>
        <w:t>funds, collective trust funds, self-directed brokerage funds, and Company stock funds. The Company stock funds are comprised of the SAIC Common Stock Fund and the SAIC Closed Stock Fund (collectively, the “Stock Funds”). All amounts in the Stock Funds are invested in Science Applications International Corporation common stock, except for estimated cash reserves, which are invested in the Vanguard Federal Money Market Fund and are primarily used to provide future benefit distributions and facilitate investment exchanges. Participants may direct their contributions into one or more of the available funds and may move their account balances between funds.</w:t>
      </w:r>
    </w:p>
    <w:p>
      <w:pPr>
        <w:spacing w:after="0" w:line="156" w:lineRule="exact"/>
        <w:rPr>
          <w:sz w:val="20"/>
          <w:szCs w:val="20"/>
          <w:color w:val="auto"/>
        </w:rPr>
      </w:pPr>
    </w:p>
    <w:p>
      <w:pPr>
        <w:jc w:val="both"/>
        <w:ind w:left="460"/>
        <w:spacing w:after="0" w:line="259" w:lineRule="auto"/>
        <w:rPr>
          <w:sz w:val="20"/>
          <w:szCs w:val="20"/>
          <w:color w:val="auto"/>
        </w:rPr>
      </w:pPr>
      <w:r>
        <w:rPr>
          <w:rFonts w:ascii="Arial" w:cs="Arial" w:eastAsia="Arial" w:hAnsi="Arial"/>
          <w:sz w:val="18"/>
          <w:szCs w:val="18"/>
          <w:b w:val="1"/>
          <w:bCs w:val="1"/>
          <w:i w:val="1"/>
          <w:iCs w:val="1"/>
          <w:color w:val="2B4C9B"/>
        </w:rPr>
        <w:t>Plan Amendments and Termination</w:t>
      </w:r>
      <w:r>
        <w:rPr>
          <w:rFonts w:ascii="Arial" w:cs="Arial" w:eastAsia="Arial" w:hAnsi="Arial"/>
          <w:sz w:val="18"/>
          <w:szCs w:val="18"/>
          <w:color w:val="000000"/>
        </w:rPr>
        <w:t>—On December 14, 2023, the Plan was amended to reflect the merger of the Koverse, Inc.</w:t>
      </w:r>
      <w:r>
        <w:rPr>
          <w:rFonts w:ascii="Arial" w:cs="Arial" w:eastAsia="Arial" w:hAnsi="Arial"/>
          <w:sz w:val="18"/>
          <w:szCs w:val="18"/>
          <w:b w:val="1"/>
          <w:bCs w:val="1"/>
          <w:i w:val="1"/>
          <w:iCs w:val="1"/>
          <w:color w:val="2B4C9B"/>
        </w:rPr>
        <w:t xml:space="preserve"> </w:t>
      </w:r>
      <w:r>
        <w:rPr>
          <w:rFonts w:ascii="Arial" w:cs="Arial" w:eastAsia="Arial" w:hAnsi="Arial"/>
          <w:sz w:val="18"/>
          <w:szCs w:val="18"/>
          <w:color w:val="000000"/>
        </w:rPr>
        <w:t>401(k) Plan with and into the Plan, which was effective March 1, 2024. This is in connection with the Company's acquisition of Koverse, Inc. during the year ended December 31, 2021. Undistributed participant account balances totaling approximately $3,319,000 were transferred into the Plan. Certain other provisions were adopted to align Plan terms with prior operation regarding certain employees who received matching contributions in 2021 and 2022.</w:t>
      </w:r>
    </w:p>
    <w:p>
      <w:pPr>
        <w:spacing w:after="0" w:line="139" w:lineRule="exact"/>
        <w:rPr>
          <w:sz w:val="20"/>
          <w:szCs w:val="20"/>
          <w:color w:val="auto"/>
        </w:rPr>
      </w:pPr>
    </w:p>
    <w:p>
      <w:pPr>
        <w:jc w:val="both"/>
        <w:ind w:left="460"/>
        <w:spacing w:after="0" w:line="287" w:lineRule="auto"/>
        <w:rPr>
          <w:sz w:val="20"/>
          <w:szCs w:val="20"/>
          <w:color w:val="auto"/>
        </w:rPr>
      </w:pPr>
      <w:r>
        <w:rPr>
          <w:rFonts w:ascii="Arial" w:cs="Arial" w:eastAsia="Arial" w:hAnsi="Arial"/>
          <w:sz w:val="18"/>
          <w:szCs w:val="18"/>
          <w:color w:val="auto"/>
        </w:rPr>
        <w:t>Effective December 30, 2024, the Plan was amended to reflect certain provisions of the SECURE 2.0 Act of 2022 as well as certain other discretionary amendments.</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2B4C9B"/>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2B4C9B"/>
        </w:rPr>
        <w:t>SCIENCE APPLICATIONS INTERNATIONAL CORPORATION RETIREMENT PLAN</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B4C9B"/>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B4C9B"/>
        </w:rPr>
        <w:t>December 31, 2025 and 2024</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left="460"/>
        <w:spacing w:after="0" w:line="287" w:lineRule="auto"/>
        <w:rPr>
          <w:sz w:val="20"/>
          <w:szCs w:val="20"/>
          <w:color w:val="auto"/>
        </w:rPr>
      </w:pPr>
      <w:r>
        <w:rPr>
          <w:rFonts w:ascii="Arial" w:cs="Arial" w:eastAsia="Arial" w:hAnsi="Arial"/>
          <w:sz w:val="18"/>
          <w:szCs w:val="18"/>
          <w:color w:val="auto"/>
        </w:rPr>
        <w:t>Although it has not expressed any intent to do so, the Company has the right under the Plan to discontinue its contributions and to terminate the Plan at any time subject to the provisions of ERISA.</w:t>
      </w:r>
    </w:p>
    <w:p>
      <w:pPr>
        <w:spacing w:after="0" w:line="112" w:lineRule="exact"/>
        <w:rPr>
          <w:sz w:val="20"/>
          <w:szCs w:val="20"/>
          <w:color w:val="auto"/>
        </w:rPr>
      </w:pPr>
    </w:p>
    <w:p>
      <w:pPr>
        <w:jc w:val="both"/>
        <w:ind w:left="460"/>
        <w:spacing w:after="0" w:line="245" w:lineRule="auto"/>
        <w:rPr>
          <w:sz w:val="20"/>
          <w:szCs w:val="20"/>
          <w:color w:val="auto"/>
        </w:rPr>
      </w:pPr>
      <w:r>
        <w:rPr>
          <w:rFonts w:ascii="Arial" w:cs="Arial" w:eastAsia="Arial" w:hAnsi="Arial"/>
          <w:sz w:val="18"/>
          <w:szCs w:val="18"/>
          <w:b w:val="1"/>
          <w:bCs w:val="1"/>
          <w:i w:val="1"/>
          <w:iCs w:val="1"/>
          <w:color w:val="2B4C9B"/>
        </w:rPr>
        <w:t>Vesting and Forfeitures</w:t>
      </w:r>
      <w:r>
        <w:rPr>
          <w:rFonts w:ascii="Arial" w:cs="Arial" w:eastAsia="Arial" w:hAnsi="Arial"/>
          <w:sz w:val="18"/>
          <w:szCs w:val="18"/>
          <w:color w:val="000000"/>
        </w:rPr>
        <w:t>—Participants’ elective deferrals, rollover contributions and Employer contributions together with associated</w:t>
      </w:r>
      <w:r>
        <w:rPr>
          <w:rFonts w:ascii="Arial" w:cs="Arial" w:eastAsia="Arial" w:hAnsi="Arial"/>
          <w:sz w:val="18"/>
          <w:szCs w:val="18"/>
          <w:b w:val="1"/>
          <w:bCs w:val="1"/>
          <w:i w:val="1"/>
          <w:iCs w:val="1"/>
          <w:color w:val="2B4C9B"/>
        </w:rPr>
        <w:t xml:space="preserve"> </w:t>
      </w:r>
      <w:r>
        <w:rPr>
          <w:rFonts w:ascii="Arial" w:cs="Arial" w:eastAsia="Arial" w:hAnsi="Arial"/>
          <w:sz w:val="18"/>
          <w:szCs w:val="18"/>
          <w:color w:val="000000"/>
        </w:rPr>
        <w:t>earnings or losses vest immediately. Unvested balances from other plans merged into the Plan in prior years continue to vest according</w:t>
      </w:r>
    </w:p>
    <w:p>
      <w:pPr>
        <w:jc w:val="both"/>
        <w:ind w:left="460"/>
        <w:spacing w:after="0" w:line="226" w:lineRule="auto"/>
        <w:rPr>
          <w:sz w:val="20"/>
          <w:szCs w:val="20"/>
          <w:color w:val="auto"/>
        </w:rPr>
      </w:pPr>
      <w:r>
        <w:rPr>
          <w:rFonts w:ascii="Arial" w:cs="Arial" w:eastAsia="Arial" w:hAnsi="Arial"/>
          <w:sz w:val="18"/>
          <w:szCs w:val="18"/>
          <w:color w:val="auto"/>
        </w:rPr>
        <w:t>to their original vesting schedules. Forfeitures are used to offset Employer contributions or certain eligible Plan expenses. During the year ended December 31, 2025, forfeitures were used to offset Employer contributions in the amount of approximately $784,000. No</w:t>
      </w:r>
    </w:p>
    <w:p>
      <w:pPr>
        <w:spacing w:after="0" w:line="2" w:lineRule="exact"/>
        <w:rPr>
          <w:sz w:val="20"/>
          <w:szCs w:val="20"/>
          <w:color w:val="auto"/>
        </w:rPr>
      </w:pPr>
    </w:p>
    <w:p>
      <w:pPr>
        <w:jc w:val="both"/>
        <w:ind w:left="460"/>
        <w:spacing w:after="0" w:line="242" w:lineRule="auto"/>
        <w:rPr>
          <w:sz w:val="20"/>
          <w:szCs w:val="20"/>
          <w:color w:val="auto"/>
        </w:rPr>
      </w:pPr>
      <w:r>
        <w:rPr>
          <w:rFonts w:ascii="Arial" w:cs="Arial" w:eastAsia="Arial" w:hAnsi="Arial"/>
          <w:sz w:val="18"/>
          <w:szCs w:val="18"/>
          <w:color w:val="auto"/>
        </w:rPr>
        <w:t>forfeitures were used to pay administrative expenses. During the year ended December 31, 2024, forfeitures were used to offset Employer contributions in the amount of approximately $1,347,000 and to pay administrative expenses of approximately $70,000. Forfeitures available for future use amounted to approximately $25,000 and $123,000 as of December 31, 2025 and 2024, respectively.</w:t>
      </w:r>
    </w:p>
    <w:p>
      <w:pPr>
        <w:spacing w:after="0" w:line="220" w:lineRule="exact"/>
        <w:rPr>
          <w:sz w:val="20"/>
          <w:szCs w:val="20"/>
          <w:color w:val="auto"/>
        </w:rPr>
      </w:pPr>
    </w:p>
    <w:p>
      <w:pPr>
        <w:jc w:val="both"/>
        <w:ind w:left="460"/>
        <w:spacing w:after="0" w:line="259" w:lineRule="auto"/>
        <w:rPr>
          <w:sz w:val="20"/>
          <w:szCs w:val="20"/>
          <w:color w:val="auto"/>
        </w:rPr>
      </w:pPr>
      <w:r>
        <w:rPr>
          <w:rFonts w:ascii="Arial" w:cs="Arial" w:eastAsia="Arial" w:hAnsi="Arial"/>
          <w:sz w:val="18"/>
          <w:szCs w:val="18"/>
          <w:b w:val="1"/>
          <w:bCs w:val="1"/>
          <w:i w:val="1"/>
          <w:iCs w:val="1"/>
          <w:color w:val="2B4C9B"/>
        </w:rPr>
        <w:t>Notes Receivable from Participants</w:t>
      </w:r>
      <w:r>
        <w:rPr>
          <w:rFonts w:ascii="Arial" w:cs="Arial" w:eastAsia="Arial" w:hAnsi="Arial"/>
          <w:sz w:val="18"/>
          <w:szCs w:val="18"/>
          <w:color w:val="000000"/>
        </w:rPr>
        <w:t>—Participants may borrow up to 50% of their vested account balance, up to a maximum of</w:t>
      </w:r>
      <w:r>
        <w:rPr>
          <w:rFonts w:ascii="Arial" w:cs="Arial" w:eastAsia="Arial" w:hAnsi="Arial"/>
          <w:sz w:val="18"/>
          <w:szCs w:val="18"/>
          <w:b w:val="1"/>
          <w:bCs w:val="1"/>
          <w:i w:val="1"/>
          <w:iCs w:val="1"/>
          <w:color w:val="2B4C9B"/>
        </w:rPr>
        <w:t xml:space="preserve"> </w:t>
      </w:r>
      <w:r>
        <w:rPr>
          <w:rFonts w:ascii="Arial" w:cs="Arial" w:eastAsia="Arial" w:hAnsi="Arial"/>
          <w:sz w:val="18"/>
          <w:szCs w:val="18"/>
          <w:color w:val="000000"/>
        </w:rPr>
        <w:t>$50,000 with a maximum of one outstanding loan per participant. Loan repayment periods may not exceed 60 months except for loans used to acquire a principal residence, in which case the repayment period may not exceed 30 years. Interest rates for the loans are based on the Prime Rate, as determined by the Plan's record-keeper, plus 1%. Principal and interest are collected ratably through payroll deductions.</w:t>
      </w:r>
    </w:p>
    <w:p>
      <w:pPr>
        <w:spacing w:after="0" w:line="139" w:lineRule="exact"/>
        <w:rPr>
          <w:sz w:val="20"/>
          <w:szCs w:val="20"/>
          <w:color w:val="auto"/>
        </w:rPr>
      </w:pPr>
    </w:p>
    <w:p>
      <w:pPr>
        <w:jc w:val="both"/>
        <w:ind w:left="460"/>
        <w:spacing w:after="0" w:line="254" w:lineRule="auto"/>
        <w:rPr>
          <w:sz w:val="20"/>
          <w:szCs w:val="20"/>
          <w:color w:val="auto"/>
        </w:rPr>
      </w:pPr>
      <w:r>
        <w:rPr>
          <w:rFonts w:ascii="Arial" w:cs="Arial" w:eastAsia="Arial" w:hAnsi="Arial"/>
          <w:sz w:val="18"/>
          <w:szCs w:val="18"/>
          <w:b w:val="1"/>
          <w:bCs w:val="1"/>
          <w:i w:val="1"/>
          <w:iCs w:val="1"/>
          <w:color w:val="2B4C9B"/>
        </w:rPr>
        <w:t>Distributions to Participants</w:t>
      </w:r>
      <w:r>
        <w:rPr>
          <w:rFonts w:ascii="Arial" w:cs="Arial" w:eastAsia="Arial" w:hAnsi="Arial"/>
          <w:sz w:val="18"/>
          <w:szCs w:val="18"/>
          <w:color w:val="000000"/>
        </w:rPr>
        <w:t>—For vested account balances less than $1,000, participants receive their vested account balance in a</w:t>
      </w:r>
      <w:r>
        <w:rPr>
          <w:rFonts w:ascii="Arial" w:cs="Arial" w:eastAsia="Arial" w:hAnsi="Arial"/>
          <w:sz w:val="18"/>
          <w:szCs w:val="18"/>
          <w:b w:val="1"/>
          <w:bCs w:val="1"/>
          <w:i w:val="1"/>
          <w:iCs w:val="1"/>
          <w:color w:val="2B4C9B"/>
        </w:rPr>
        <w:t xml:space="preserve"> </w:t>
      </w:r>
      <w:r>
        <w:rPr>
          <w:rFonts w:ascii="Arial" w:cs="Arial" w:eastAsia="Arial" w:hAnsi="Arial"/>
          <w:sz w:val="18"/>
          <w:szCs w:val="18"/>
          <w:color w:val="000000"/>
        </w:rPr>
        <w:t>single lump sum following termination of employment with the Company. For vested account balances between $1,000 and $7,000, a participant’s vested account balance is automatically rolled over into an Individual Retirement Account following termination. For vested account balances that exceed $7,000, balances are not distributed unless the participant elects to take a distribution following the participant’s termination of employment with the Company. Regardless of the existing account balance, distributions are made when participants die or become permanently disabled while employed by the Company. After attaining the age of 59-1/2, a participant may make withdrawals even if still employed by the Company. Participants may make withdrawals from the Plan prior to attaining the age of 59-1/2 from their rollover account or if the participant incurs a financial hardship, as specified by the Plan document. Former employees, regardless of their age, may elect to receive up to two distributions in any given Plan year, of all or a portion of their account balance.</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2. TAX STATUS</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Internal Revenue Service (“IRS”) has determined and informed the Company by a letter dated February 28, 2014, that the Plan was designed in accordance with the applicable requirements of the IRC. Although the Plan has been amended since receiving the determination letter, the Company believes that the Plan is designed, and is currently being operated, in compliance with the applicable requirements of the IRC and, therefore, believes that the Plan is qualified, and the related trust is tax-exempt. Accordingly, no provision for income taxes has been included in the Plan’s financial statements. Management recognizes tax liabilities for uncertainty in income taxes when it is more likely than not that a tax position would not be sustained upon examination by and settlement with the IRS. As of December 31, 2025 and 2024, there are no uncertain positions taken or expected to be taken that would require recognition of a liability or disclosure in the financial statements.</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3. TRANSACTIONS WITH PARTIES-IN-INTEREST AND RELATED PARTIES</w:t>
      </w:r>
    </w:p>
    <w:p>
      <w:pPr>
        <w:spacing w:after="0" w:line="18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Certain Plan investments are managed by The Vanguard Group ("Vanguard") or an affiliate thereof. Vanguard is also the Plan’s record-keeper; therefore, transactions with these investments qualify as party-in-interest transactions. Members of the Science Applications International Corporation Benefit Plans Committee also participate in the Plan and qualify as parties-in-interest. Notes receivable from participants also qualify as party-in-interest transactions.</w:t>
      </w:r>
    </w:p>
    <w:p>
      <w:pPr>
        <w:spacing w:after="0" w:line="13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SAIC is the sponsoring employer as of December 31, 2025 and 2024. The value of SAIC shares held by the Plan in the Stock Funds was approximately $89,951,000 and $108,969,000 as of December 31, 2025 and 2024, respectively. For the years ended December 31, 2025 and 2024, the Stock Funds earned dividends of approximately $1,381,000</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2B4C9B"/>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2B4C9B"/>
        </w:rPr>
        <w:t>SCIENCE APPLICATIONS INTERNATIONAL CORPORATION RETIREMENT PLAN</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B4C9B"/>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B4C9B"/>
        </w:rPr>
        <w:t>December 31, 2025 and 2024</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and $1,491,000, respectively. The Stock Funds depreciated in value by approximately $10,095,000 and $12,662,000 during the years ended December 31, 2025 and 2024, respectively.</w:t>
      </w:r>
    </w:p>
    <w:p>
      <w:pPr>
        <w:spacing w:after="0" w:line="200" w:lineRule="exact"/>
        <w:rPr>
          <w:sz w:val="20"/>
          <w:szCs w:val="20"/>
          <w:color w:val="auto"/>
        </w:rPr>
      </w:pPr>
    </w:p>
    <w:p>
      <w:pPr>
        <w:spacing w:after="0" w:line="344" w:lineRule="exact"/>
        <w:rPr>
          <w:sz w:val="20"/>
          <w:szCs w:val="20"/>
          <w:color w:val="auto"/>
        </w:rPr>
      </w:pPr>
    </w:p>
    <w:p>
      <w:pPr>
        <w:ind w:left="400" w:hanging="392"/>
        <w:spacing w:after="0"/>
        <w:tabs>
          <w:tab w:leader="none" w:pos="400" w:val="left"/>
        </w:tabs>
        <w:numPr>
          <w:ilvl w:val="0"/>
          <w:numId w:val="5"/>
        </w:numPr>
        <w:rPr>
          <w:rFonts w:ascii="Arial" w:cs="Arial" w:eastAsia="Arial" w:hAnsi="Arial"/>
          <w:sz w:val="18"/>
          <w:szCs w:val="18"/>
          <w:b w:val="1"/>
          <w:bCs w:val="1"/>
          <w:color w:val="2B4C9B"/>
        </w:rPr>
      </w:pPr>
      <w:r>
        <w:rPr>
          <w:rFonts w:ascii="Arial" w:cs="Arial" w:eastAsia="Arial" w:hAnsi="Arial"/>
          <w:sz w:val="18"/>
          <w:szCs w:val="18"/>
          <w:b w:val="1"/>
          <w:bCs w:val="1"/>
          <w:color w:val="2B4C9B"/>
        </w:rPr>
        <w:t>SIGNIFICANT ACCOUNTING POLICIES</w:t>
      </w:r>
    </w:p>
    <w:p>
      <w:pPr>
        <w:spacing w:after="0" w:line="252" w:lineRule="exact"/>
        <w:rPr>
          <w:sz w:val="20"/>
          <w:szCs w:val="20"/>
          <w:color w:val="auto"/>
        </w:rPr>
      </w:pPr>
    </w:p>
    <w:p>
      <w:pPr>
        <w:jc w:val="both"/>
        <w:ind w:left="460"/>
        <w:spacing w:after="0" w:line="287" w:lineRule="auto"/>
        <w:rPr>
          <w:sz w:val="20"/>
          <w:szCs w:val="20"/>
          <w:color w:val="auto"/>
        </w:rPr>
      </w:pPr>
      <w:r>
        <w:rPr>
          <w:rFonts w:ascii="Arial" w:cs="Arial" w:eastAsia="Arial" w:hAnsi="Arial"/>
          <w:sz w:val="18"/>
          <w:szCs w:val="18"/>
          <w:b w:val="1"/>
          <w:bCs w:val="1"/>
          <w:i w:val="1"/>
          <w:iCs w:val="1"/>
          <w:color w:val="2B4C9B"/>
        </w:rPr>
        <w:t>Basis of Accounting</w:t>
      </w:r>
      <w:r>
        <w:rPr>
          <w:rFonts w:ascii="Arial" w:cs="Arial" w:eastAsia="Arial" w:hAnsi="Arial"/>
          <w:sz w:val="18"/>
          <w:szCs w:val="18"/>
          <w:color w:val="000000"/>
        </w:rPr>
        <w:t>—The Plan’s financial statements are prepared in accordance with accounting principles generally accepted in</w:t>
      </w:r>
      <w:r>
        <w:rPr>
          <w:rFonts w:ascii="Arial" w:cs="Arial" w:eastAsia="Arial" w:hAnsi="Arial"/>
          <w:sz w:val="18"/>
          <w:szCs w:val="18"/>
          <w:b w:val="1"/>
          <w:bCs w:val="1"/>
          <w:i w:val="1"/>
          <w:iCs w:val="1"/>
          <w:color w:val="2B4C9B"/>
        </w:rPr>
        <w:t xml:space="preserve"> </w:t>
      </w:r>
      <w:r>
        <w:rPr>
          <w:rFonts w:ascii="Arial" w:cs="Arial" w:eastAsia="Arial" w:hAnsi="Arial"/>
          <w:sz w:val="18"/>
          <w:szCs w:val="18"/>
          <w:color w:val="000000"/>
        </w:rPr>
        <w:t>the United States of America (“GAAP”).</w:t>
      </w:r>
    </w:p>
    <w:p>
      <w:pPr>
        <w:spacing w:after="0" w:line="180" w:lineRule="exact"/>
        <w:rPr>
          <w:sz w:val="20"/>
          <w:szCs w:val="20"/>
          <w:color w:val="auto"/>
        </w:rPr>
      </w:pPr>
    </w:p>
    <w:p>
      <w:pPr>
        <w:jc w:val="both"/>
        <w:ind w:left="460"/>
        <w:spacing w:after="0" w:line="262" w:lineRule="auto"/>
        <w:rPr>
          <w:sz w:val="20"/>
          <w:szCs w:val="20"/>
          <w:color w:val="auto"/>
        </w:rPr>
      </w:pPr>
      <w:r>
        <w:rPr>
          <w:rFonts w:ascii="Arial" w:cs="Arial" w:eastAsia="Arial" w:hAnsi="Arial"/>
          <w:sz w:val="18"/>
          <w:szCs w:val="18"/>
          <w:b w:val="1"/>
          <w:bCs w:val="1"/>
          <w:i w:val="1"/>
          <w:iCs w:val="1"/>
          <w:color w:val="2B4C9B"/>
        </w:rPr>
        <w:t>Use of Estimates</w:t>
      </w:r>
      <w:r>
        <w:rPr>
          <w:rFonts w:ascii="Arial" w:cs="Arial" w:eastAsia="Arial" w:hAnsi="Arial"/>
          <w:sz w:val="18"/>
          <w:szCs w:val="18"/>
          <w:color w:val="000000"/>
        </w:rPr>
        <w:t>—The preparation of financial statements in conformity with GAAP requires management to make estimates and</w:t>
      </w:r>
      <w:r>
        <w:rPr>
          <w:rFonts w:ascii="Arial" w:cs="Arial" w:eastAsia="Arial" w:hAnsi="Arial"/>
          <w:sz w:val="18"/>
          <w:szCs w:val="18"/>
          <w:b w:val="1"/>
          <w:bCs w:val="1"/>
          <w:i w:val="1"/>
          <w:iCs w:val="1"/>
          <w:color w:val="2B4C9B"/>
        </w:rPr>
        <w:t xml:space="preserve"> </w:t>
      </w:r>
      <w:r>
        <w:rPr>
          <w:rFonts w:ascii="Arial" w:cs="Arial" w:eastAsia="Arial" w:hAnsi="Arial"/>
          <w:sz w:val="18"/>
          <w:szCs w:val="18"/>
          <w:color w:val="000000"/>
        </w:rPr>
        <w:t>assumptions that affect the reported amounts of assets and liabilities and disclosures of contingent assets and liabilities at the date of the financial statements, and the reported amounts of additions and deductions during the reporting periods. Actual results may differ from those estimates.</w:t>
      </w:r>
    </w:p>
    <w:p>
      <w:pPr>
        <w:spacing w:after="0" w:line="203" w:lineRule="exact"/>
        <w:rPr>
          <w:sz w:val="20"/>
          <w:szCs w:val="20"/>
          <w:color w:val="auto"/>
        </w:rPr>
      </w:pPr>
    </w:p>
    <w:p>
      <w:pPr>
        <w:jc w:val="both"/>
        <w:ind w:left="460"/>
        <w:spacing w:after="0" w:line="287" w:lineRule="auto"/>
        <w:rPr>
          <w:sz w:val="20"/>
          <w:szCs w:val="20"/>
          <w:color w:val="auto"/>
        </w:rPr>
      </w:pPr>
      <w:r>
        <w:rPr>
          <w:rFonts w:ascii="Arial" w:cs="Arial" w:eastAsia="Arial" w:hAnsi="Arial"/>
          <w:sz w:val="18"/>
          <w:szCs w:val="18"/>
          <w:b w:val="1"/>
          <w:bCs w:val="1"/>
          <w:i w:val="1"/>
          <w:iCs w:val="1"/>
          <w:color w:val="2B4C9B"/>
        </w:rPr>
        <w:t>Investment Valuation and Income Recognition</w:t>
      </w:r>
      <w:r>
        <w:rPr>
          <w:rFonts w:ascii="Arial" w:cs="Arial" w:eastAsia="Arial" w:hAnsi="Arial"/>
          <w:sz w:val="18"/>
          <w:szCs w:val="18"/>
          <w:color w:val="000000"/>
        </w:rPr>
        <w:t>—Investments held by the Plan are carried at fair value. There have been no changes</w:t>
      </w:r>
      <w:r>
        <w:rPr>
          <w:rFonts w:ascii="Arial" w:cs="Arial" w:eastAsia="Arial" w:hAnsi="Arial"/>
          <w:sz w:val="18"/>
          <w:szCs w:val="18"/>
          <w:b w:val="1"/>
          <w:bCs w:val="1"/>
          <w:i w:val="1"/>
          <w:iCs w:val="1"/>
          <w:color w:val="2B4C9B"/>
        </w:rPr>
        <w:t xml:space="preserve"> </w:t>
      </w:r>
      <w:r>
        <w:rPr>
          <w:rFonts w:ascii="Arial" w:cs="Arial" w:eastAsia="Arial" w:hAnsi="Arial"/>
          <w:sz w:val="18"/>
          <w:szCs w:val="18"/>
          <w:color w:val="000000"/>
        </w:rPr>
        <w:t>in investment valuation methodologies. Valuation and income recognition policies are as follows:</w:t>
      </w:r>
    </w:p>
    <w:p>
      <w:pPr>
        <w:spacing w:after="0" w:line="180"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Investment in Mutual Funds</w:t>
      </w:r>
      <w:r>
        <w:rPr>
          <w:rFonts w:ascii="Arial" w:cs="Arial" w:eastAsia="Arial" w:hAnsi="Arial"/>
          <w:sz w:val="18"/>
          <w:szCs w:val="18"/>
          <w:color w:val="auto"/>
        </w:rPr>
        <w:t>—The Plan’s investments in mutual funds are stated at fair value based on quoted market prices.</w:t>
      </w:r>
    </w:p>
    <w:p>
      <w:pPr>
        <w:spacing w:after="0" w:line="252" w:lineRule="exact"/>
        <w:rPr>
          <w:sz w:val="20"/>
          <w:szCs w:val="20"/>
          <w:color w:val="auto"/>
        </w:rPr>
      </w:pPr>
    </w:p>
    <w:p>
      <w:pPr>
        <w:jc w:val="both"/>
        <w:ind w:left="900"/>
        <w:spacing w:after="0" w:line="268" w:lineRule="auto"/>
        <w:rPr>
          <w:sz w:val="20"/>
          <w:szCs w:val="20"/>
          <w:color w:val="auto"/>
        </w:rPr>
      </w:pPr>
      <w:r>
        <w:rPr>
          <w:rFonts w:ascii="Arial" w:cs="Arial" w:eastAsia="Arial" w:hAnsi="Arial"/>
          <w:sz w:val="18"/>
          <w:szCs w:val="18"/>
          <w:i w:val="1"/>
          <w:iCs w:val="1"/>
          <w:color w:val="auto"/>
        </w:rPr>
        <w:t>Investment in Common Stock</w:t>
      </w:r>
      <w:r>
        <w:rPr>
          <w:rFonts w:ascii="Arial" w:cs="Arial" w:eastAsia="Arial" w:hAnsi="Arial"/>
          <w:sz w:val="18"/>
          <w:szCs w:val="18"/>
          <w:color w:val="auto"/>
        </w:rPr>
        <w:t>—Investments in shares of SAIC common stock are recorded at their last quoted market price on</w:t>
      </w:r>
      <w:r>
        <w:rPr>
          <w:rFonts w:ascii="Arial" w:cs="Arial" w:eastAsia="Arial" w:hAnsi="Arial"/>
          <w:sz w:val="18"/>
          <w:szCs w:val="18"/>
          <w:i w:val="1"/>
          <w:iCs w:val="1"/>
          <w:color w:val="auto"/>
        </w:rPr>
        <w:t xml:space="preserve"> </w:t>
      </w:r>
      <w:r>
        <w:rPr>
          <w:rFonts w:ascii="Arial" w:cs="Arial" w:eastAsia="Arial" w:hAnsi="Arial"/>
          <w:sz w:val="18"/>
          <w:szCs w:val="18"/>
          <w:color w:val="auto"/>
        </w:rPr>
        <w:t>the last business day of the respective plan year. SAIC shares were publicly traded on the New York Stock Exchange through the year ended December 31, 2023, subsequently moving to the NASDAQ in March 2024.</w:t>
      </w:r>
    </w:p>
    <w:p>
      <w:pPr>
        <w:spacing w:after="0" w:line="198" w:lineRule="exact"/>
        <w:rPr>
          <w:sz w:val="20"/>
          <w:szCs w:val="20"/>
          <w:color w:val="auto"/>
        </w:rPr>
      </w:pPr>
    </w:p>
    <w:p>
      <w:pPr>
        <w:jc w:val="both"/>
        <w:ind w:left="900"/>
        <w:spacing w:after="0" w:line="287" w:lineRule="auto"/>
        <w:rPr>
          <w:sz w:val="20"/>
          <w:szCs w:val="20"/>
          <w:color w:val="auto"/>
        </w:rPr>
      </w:pPr>
      <w:r>
        <w:rPr>
          <w:rFonts w:ascii="Arial" w:cs="Arial" w:eastAsia="Arial" w:hAnsi="Arial"/>
          <w:sz w:val="18"/>
          <w:szCs w:val="18"/>
          <w:i w:val="1"/>
          <w:iCs w:val="1"/>
          <w:color w:val="auto"/>
        </w:rPr>
        <w:t>Self-Directed Brokerage Fund</w:t>
      </w:r>
      <w:r>
        <w:rPr>
          <w:rFonts w:ascii="Arial" w:cs="Arial" w:eastAsia="Arial" w:hAnsi="Arial"/>
          <w:sz w:val="18"/>
          <w:szCs w:val="18"/>
          <w:color w:val="auto"/>
        </w:rPr>
        <w:t>—The Plan’s investments in the self-directed brokerage fund are stated at fair value based on</w:t>
      </w:r>
      <w:r>
        <w:rPr>
          <w:rFonts w:ascii="Arial" w:cs="Arial" w:eastAsia="Arial" w:hAnsi="Arial"/>
          <w:sz w:val="18"/>
          <w:szCs w:val="18"/>
          <w:i w:val="1"/>
          <w:iCs w:val="1"/>
          <w:color w:val="auto"/>
        </w:rPr>
        <w:t xml:space="preserve"> </w:t>
      </w:r>
      <w:r>
        <w:rPr>
          <w:rFonts w:ascii="Arial" w:cs="Arial" w:eastAsia="Arial" w:hAnsi="Arial"/>
          <w:sz w:val="18"/>
          <w:szCs w:val="18"/>
          <w:color w:val="auto"/>
        </w:rPr>
        <w:t>quoted market prices.</w:t>
      </w:r>
    </w:p>
    <w:p>
      <w:pPr>
        <w:spacing w:after="0" w:line="180" w:lineRule="exact"/>
        <w:rPr>
          <w:sz w:val="20"/>
          <w:szCs w:val="20"/>
          <w:color w:val="auto"/>
        </w:rPr>
      </w:pPr>
    </w:p>
    <w:p>
      <w:pPr>
        <w:jc w:val="both"/>
        <w:ind w:left="900"/>
        <w:spacing w:after="0" w:line="287" w:lineRule="auto"/>
        <w:rPr>
          <w:sz w:val="20"/>
          <w:szCs w:val="20"/>
          <w:color w:val="auto"/>
        </w:rPr>
      </w:pPr>
      <w:r>
        <w:rPr>
          <w:rFonts w:ascii="Arial" w:cs="Arial" w:eastAsia="Arial" w:hAnsi="Arial"/>
          <w:sz w:val="18"/>
          <w:szCs w:val="18"/>
          <w:i w:val="1"/>
          <w:iCs w:val="1"/>
          <w:color w:val="auto"/>
        </w:rPr>
        <w:t>Investment in Collective Trusts</w:t>
      </w:r>
      <w:r>
        <w:rPr>
          <w:rFonts w:ascii="Arial" w:cs="Arial" w:eastAsia="Arial" w:hAnsi="Arial"/>
          <w:sz w:val="18"/>
          <w:szCs w:val="18"/>
          <w:color w:val="auto"/>
        </w:rPr>
        <w:t>—The Plan's investments in collective trusts are carried at net asset value (“NAV”) per unit as a</w:t>
      </w:r>
      <w:r>
        <w:rPr>
          <w:rFonts w:ascii="Arial" w:cs="Arial" w:eastAsia="Arial" w:hAnsi="Arial"/>
          <w:sz w:val="18"/>
          <w:szCs w:val="18"/>
          <w:i w:val="1"/>
          <w:iCs w:val="1"/>
          <w:color w:val="auto"/>
        </w:rPr>
        <w:t xml:space="preserve"> </w:t>
      </w:r>
      <w:r>
        <w:rPr>
          <w:rFonts w:ascii="Arial" w:cs="Arial" w:eastAsia="Arial" w:hAnsi="Arial"/>
          <w:sz w:val="18"/>
          <w:szCs w:val="18"/>
          <w:color w:val="auto"/>
        </w:rPr>
        <w:t>practical expedient to estimate fair value, which is determined by the trustee using the fair value of the underlying investments.</w:t>
      </w:r>
    </w:p>
    <w:p>
      <w:pPr>
        <w:spacing w:after="0" w:line="180" w:lineRule="exact"/>
        <w:rPr>
          <w:sz w:val="20"/>
          <w:szCs w:val="20"/>
          <w:color w:val="auto"/>
        </w:rPr>
      </w:pPr>
    </w:p>
    <w:p>
      <w:pPr>
        <w:jc w:val="both"/>
        <w:ind w:left="900"/>
        <w:spacing w:after="0" w:line="259" w:lineRule="auto"/>
        <w:rPr>
          <w:sz w:val="20"/>
          <w:szCs w:val="20"/>
          <w:color w:val="auto"/>
        </w:rPr>
      </w:pPr>
      <w:r>
        <w:rPr>
          <w:rFonts w:ascii="Arial" w:cs="Arial" w:eastAsia="Arial" w:hAnsi="Arial"/>
          <w:sz w:val="18"/>
          <w:szCs w:val="18"/>
          <w:i w:val="1"/>
          <w:iCs w:val="1"/>
          <w:color w:val="auto"/>
        </w:rPr>
        <w:t>Investment Income</w:t>
      </w:r>
      <w:r>
        <w:rPr>
          <w:rFonts w:ascii="Arial" w:cs="Arial" w:eastAsia="Arial" w:hAnsi="Arial"/>
          <w:sz w:val="18"/>
          <w:szCs w:val="18"/>
          <w:color w:val="auto"/>
        </w:rPr>
        <w:t>—Realized gains and losses on sales of investments are calculated as the difference between the fair value of</w:t>
      </w:r>
      <w:r>
        <w:rPr>
          <w:rFonts w:ascii="Arial" w:cs="Arial" w:eastAsia="Arial" w:hAnsi="Arial"/>
          <w:sz w:val="18"/>
          <w:szCs w:val="18"/>
          <w:i w:val="1"/>
          <w:iCs w:val="1"/>
          <w:color w:val="auto"/>
        </w:rPr>
        <w:t xml:space="preserve"> </w:t>
      </w:r>
      <w:r>
        <w:rPr>
          <w:rFonts w:ascii="Arial" w:cs="Arial" w:eastAsia="Arial" w:hAnsi="Arial"/>
          <w:sz w:val="18"/>
          <w:szCs w:val="18"/>
          <w:color w:val="auto"/>
        </w:rPr>
        <w:t>the investments upon sale and the fair value of the investments at purchase. Unrealized appreciation or depreciation is calculated as the difference between the fair value of the investments at the end of the year and the fair value of the investments at the beginning of the year or on the date of purchase if purchased during the year. Interest income is recorded as earned, and dividends are recorded on the ex-dividend date.</w:t>
      </w:r>
    </w:p>
    <w:p>
      <w:pPr>
        <w:spacing w:after="0" w:line="206" w:lineRule="exact"/>
        <w:rPr>
          <w:sz w:val="20"/>
          <w:szCs w:val="20"/>
          <w:color w:val="auto"/>
        </w:rPr>
      </w:pPr>
    </w:p>
    <w:p>
      <w:pPr>
        <w:jc w:val="both"/>
        <w:ind w:left="460"/>
        <w:spacing w:after="0" w:line="268" w:lineRule="auto"/>
        <w:rPr>
          <w:sz w:val="20"/>
          <w:szCs w:val="20"/>
          <w:color w:val="auto"/>
        </w:rPr>
      </w:pPr>
      <w:r>
        <w:rPr>
          <w:rFonts w:ascii="Arial" w:cs="Arial" w:eastAsia="Arial" w:hAnsi="Arial"/>
          <w:sz w:val="18"/>
          <w:szCs w:val="18"/>
          <w:b w:val="1"/>
          <w:bCs w:val="1"/>
          <w:i w:val="1"/>
          <w:iCs w:val="1"/>
          <w:color w:val="2B4C9B"/>
        </w:rPr>
        <w:t>Notes Receivable from Participants</w:t>
      </w:r>
      <w:r>
        <w:rPr>
          <w:rFonts w:ascii="Arial" w:cs="Arial" w:eastAsia="Arial" w:hAnsi="Arial"/>
          <w:sz w:val="18"/>
          <w:szCs w:val="18"/>
          <w:color w:val="000000"/>
        </w:rPr>
        <w:t>—Notes receivable from participants are carried at the aggregate unpaid principal balance, plus</w:t>
      </w:r>
      <w:r>
        <w:rPr>
          <w:rFonts w:ascii="Arial" w:cs="Arial" w:eastAsia="Arial" w:hAnsi="Arial"/>
          <w:sz w:val="18"/>
          <w:szCs w:val="18"/>
          <w:b w:val="1"/>
          <w:bCs w:val="1"/>
          <w:i w:val="1"/>
          <w:iCs w:val="1"/>
          <w:color w:val="2B4C9B"/>
        </w:rPr>
        <w:t xml:space="preserve"> </w:t>
      </w:r>
      <w:r>
        <w:rPr>
          <w:rFonts w:ascii="Arial" w:cs="Arial" w:eastAsia="Arial" w:hAnsi="Arial"/>
          <w:sz w:val="18"/>
          <w:szCs w:val="18"/>
          <w:color w:val="000000"/>
        </w:rPr>
        <w:t>accrued, unpaid interest of loans outstanding. If a participant defaults on a loan, it becomes a distribution from the Plan to the participant.</w:t>
      </w:r>
    </w:p>
    <w:p>
      <w:pPr>
        <w:spacing w:after="0" w:line="198" w:lineRule="exact"/>
        <w:rPr>
          <w:sz w:val="20"/>
          <w:szCs w:val="20"/>
          <w:color w:val="auto"/>
        </w:rPr>
      </w:pPr>
    </w:p>
    <w:p>
      <w:pPr>
        <w:jc w:val="both"/>
        <w:ind w:left="460" w:right="20"/>
        <w:spacing w:after="0" w:line="287" w:lineRule="auto"/>
        <w:rPr>
          <w:sz w:val="20"/>
          <w:szCs w:val="20"/>
          <w:color w:val="auto"/>
        </w:rPr>
      </w:pPr>
      <w:r>
        <w:rPr>
          <w:rFonts w:ascii="Arial" w:cs="Arial" w:eastAsia="Arial" w:hAnsi="Arial"/>
          <w:sz w:val="18"/>
          <w:szCs w:val="18"/>
          <w:b w:val="1"/>
          <w:bCs w:val="1"/>
          <w:i w:val="1"/>
          <w:iCs w:val="1"/>
          <w:color w:val="2B4C9B"/>
        </w:rPr>
        <w:t>Distributions Paid to Participants</w:t>
      </w:r>
      <w:r>
        <w:rPr>
          <w:rFonts w:ascii="Arial" w:cs="Arial" w:eastAsia="Arial" w:hAnsi="Arial"/>
          <w:sz w:val="18"/>
          <w:szCs w:val="18"/>
          <w:color w:val="000000"/>
        </w:rPr>
        <w:t>—Benefit payments to participants are recorded upon distribution. There were no distributions</w:t>
      </w:r>
      <w:r>
        <w:rPr>
          <w:rFonts w:ascii="Arial" w:cs="Arial" w:eastAsia="Arial" w:hAnsi="Arial"/>
          <w:sz w:val="18"/>
          <w:szCs w:val="18"/>
          <w:b w:val="1"/>
          <w:bCs w:val="1"/>
          <w:i w:val="1"/>
          <w:iCs w:val="1"/>
          <w:color w:val="2B4C9B"/>
        </w:rPr>
        <w:t xml:space="preserve"> </w:t>
      </w:r>
      <w:r>
        <w:rPr>
          <w:rFonts w:ascii="Arial" w:cs="Arial" w:eastAsia="Arial" w:hAnsi="Arial"/>
          <w:sz w:val="18"/>
          <w:szCs w:val="18"/>
          <w:color w:val="000000"/>
        </w:rPr>
        <w:t>payable to participants who had elected to withdraw from the Plan but had not yet been paid as of December 31, 2025 and 2024.</w:t>
      </w:r>
    </w:p>
    <w:p>
      <w:pPr>
        <w:spacing w:after="0" w:line="180" w:lineRule="exact"/>
        <w:rPr>
          <w:sz w:val="20"/>
          <w:szCs w:val="20"/>
          <w:color w:val="auto"/>
        </w:rPr>
      </w:pPr>
    </w:p>
    <w:p>
      <w:pPr>
        <w:jc w:val="both"/>
        <w:ind w:left="460"/>
        <w:spacing w:after="0" w:line="268" w:lineRule="auto"/>
        <w:rPr>
          <w:sz w:val="20"/>
          <w:szCs w:val="20"/>
          <w:color w:val="auto"/>
        </w:rPr>
      </w:pPr>
      <w:r>
        <w:rPr>
          <w:rFonts w:ascii="Arial" w:cs="Arial" w:eastAsia="Arial" w:hAnsi="Arial"/>
          <w:sz w:val="18"/>
          <w:szCs w:val="18"/>
          <w:b w:val="1"/>
          <w:bCs w:val="1"/>
          <w:i w:val="1"/>
          <w:iCs w:val="1"/>
          <w:color w:val="2B4C9B"/>
        </w:rPr>
        <w:t>Administrative Expenses</w:t>
      </w:r>
      <w:r>
        <w:rPr>
          <w:rFonts w:ascii="Arial" w:cs="Arial" w:eastAsia="Arial" w:hAnsi="Arial"/>
          <w:sz w:val="18"/>
          <w:szCs w:val="18"/>
          <w:color w:val="000000"/>
        </w:rPr>
        <w:t>—Administrative expenses of the Plan are paid by the Plan sponsor or Plan participants as provided in the</w:t>
      </w:r>
      <w:r>
        <w:rPr>
          <w:rFonts w:ascii="Arial" w:cs="Arial" w:eastAsia="Arial" w:hAnsi="Arial"/>
          <w:sz w:val="18"/>
          <w:szCs w:val="18"/>
          <w:b w:val="1"/>
          <w:bCs w:val="1"/>
          <w:i w:val="1"/>
          <w:iCs w:val="1"/>
          <w:color w:val="2B4C9B"/>
        </w:rPr>
        <w:t xml:space="preserve"> </w:t>
      </w:r>
      <w:r>
        <w:rPr>
          <w:rFonts w:ascii="Arial" w:cs="Arial" w:eastAsia="Arial" w:hAnsi="Arial"/>
          <w:sz w:val="18"/>
          <w:szCs w:val="18"/>
          <w:color w:val="000000"/>
        </w:rPr>
        <w:t>Plan document. Payments for service fees, professional fees, and plan-related investment advisory fees are generally funded from assessments charged on participant accounts.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2B4C9B"/>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2B4C9B"/>
        </w:rPr>
        <w:t>SCIENCE APPLICATIONS INTERNATIONAL CORPORATION RETIREMENT PLAN</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B4C9B"/>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B4C9B"/>
        </w:rPr>
        <w:t>December 31, 2025 and 2024</w:t>
      </w:r>
    </w:p>
    <w:p>
      <w:pPr>
        <w:spacing w:after="0" w:line="200" w:lineRule="exact"/>
        <w:rPr>
          <w:sz w:val="20"/>
          <w:szCs w:val="20"/>
          <w:color w:val="auto"/>
        </w:rPr>
      </w:pPr>
    </w:p>
    <w:p>
      <w:pPr>
        <w:spacing w:after="0" w:line="385" w:lineRule="exact"/>
        <w:rPr>
          <w:sz w:val="20"/>
          <w:szCs w:val="20"/>
          <w:color w:val="auto"/>
        </w:rPr>
      </w:pPr>
    </w:p>
    <w:p>
      <w:pPr>
        <w:ind w:left="360" w:hanging="352"/>
        <w:spacing w:after="0"/>
        <w:tabs>
          <w:tab w:leader="none" w:pos="360" w:val="left"/>
        </w:tabs>
        <w:numPr>
          <w:ilvl w:val="0"/>
          <w:numId w:val="6"/>
        </w:numPr>
        <w:rPr>
          <w:rFonts w:ascii="Arial" w:cs="Arial" w:eastAsia="Arial" w:hAnsi="Arial"/>
          <w:sz w:val="18"/>
          <w:szCs w:val="18"/>
          <w:b w:val="1"/>
          <w:bCs w:val="1"/>
          <w:color w:val="2B4C9B"/>
        </w:rPr>
      </w:pPr>
      <w:r>
        <w:rPr>
          <w:rFonts w:ascii="Arial" w:cs="Arial" w:eastAsia="Arial" w:hAnsi="Arial"/>
          <w:sz w:val="18"/>
          <w:szCs w:val="18"/>
          <w:b w:val="1"/>
          <w:bCs w:val="1"/>
          <w:color w:val="2B4C9B"/>
        </w:rPr>
        <w:t>INVESTMENT RISKS AND UNCERTAINTIES</w:t>
      </w:r>
    </w:p>
    <w:p>
      <w:pPr>
        <w:spacing w:after="0" w:line="18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Plan invests in various investment securities which, in general, are exposed to various risks, such as interest rate risk, credit risk, and overall market volatility. Due to the level of risk associated with investment securities, it is reasonably possible that changes in the values of certain investment securities will occur in the near term and such changes could materially affect the amounts reported in the statement of net assets available for benefits and statement of changes in net assets available for benefits.</w:t>
      </w:r>
    </w:p>
    <w:p>
      <w:pPr>
        <w:spacing w:after="0" w:line="200" w:lineRule="exact"/>
        <w:rPr>
          <w:sz w:val="20"/>
          <w:szCs w:val="20"/>
          <w:color w:val="auto"/>
        </w:rPr>
      </w:pPr>
    </w:p>
    <w:p>
      <w:pPr>
        <w:spacing w:after="0" w:line="300" w:lineRule="exact"/>
        <w:rPr>
          <w:sz w:val="20"/>
          <w:szCs w:val="20"/>
          <w:color w:val="auto"/>
        </w:rPr>
      </w:pPr>
    </w:p>
    <w:p>
      <w:pPr>
        <w:ind w:left="360" w:hanging="352"/>
        <w:spacing w:after="0"/>
        <w:tabs>
          <w:tab w:leader="none" w:pos="360" w:val="left"/>
        </w:tabs>
        <w:numPr>
          <w:ilvl w:val="0"/>
          <w:numId w:val="7"/>
        </w:numPr>
        <w:rPr>
          <w:rFonts w:ascii="Arial" w:cs="Arial" w:eastAsia="Arial" w:hAnsi="Arial"/>
          <w:sz w:val="18"/>
          <w:szCs w:val="18"/>
          <w:b w:val="1"/>
          <w:bCs w:val="1"/>
          <w:color w:val="2B4C9B"/>
        </w:rPr>
      </w:pPr>
      <w:r>
        <w:rPr>
          <w:rFonts w:ascii="Arial" w:cs="Arial" w:eastAsia="Arial" w:hAnsi="Arial"/>
          <w:sz w:val="18"/>
          <w:szCs w:val="18"/>
          <w:b w:val="1"/>
          <w:bCs w:val="1"/>
          <w:color w:val="2B4C9B"/>
        </w:rPr>
        <w:t>FAIR VALUE MEASUREMENTS</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010202"/>
        </w:rPr>
        <w:t>Accounting guidance has been issued that establishes a framework for measuring fair value. That framework provides a fair value hierarchy that prioritizes the inputs to valuation techniques used to measure fair value. The three levels of the fair value hierarchy are described below:</w:t>
      </w:r>
    </w:p>
    <w:p>
      <w:pPr>
        <w:spacing w:after="0" w:line="112" w:lineRule="exact"/>
        <w:rPr>
          <w:sz w:val="20"/>
          <w:szCs w:val="20"/>
          <w:color w:val="auto"/>
        </w:rPr>
      </w:pPr>
    </w:p>
    <w:p>
      <w:pPr>
        <w:ind w:left="500"/>
        <w:spacing w:after="0"/>
        <w:tabs>
          <w:tab w:leader="none" w:pos="126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7"/>
          <w:szCs w:val="17"/>
          <w:color w:val="auto"/>
        </w:rPr>
        <w:t>Unadjusted quoted prices for identical assets or liabilities in active markets that the Plan has the ability to access.</w:t>
      </w:r>
    </w:p>
    <w:p>
      <w:pPr>
        <w:spacing w:after="0" w:line="198" w:lineRule="exact"/>
        <w:rPr>
          <w:sz w:val="20"/>
          <w:szCs w:val="20"/>
          <w:color w:val="auto"/>
        </w:rPr>
      </w:pPr>
    </w:p>
    <w:p>
      <w:pPr>
        <w:jc w:val="both"/>
        <w:ind w:left="1300" w:hanging="1011"/>
        <w:spacing w:after="0" w:line="259" w:lineRule="auto"/>
        <w:tabs>
          <w:tab w:leader="none" w:pos="1280" w:val="left"/>
        </w:tabs>
        <w:rPr>
          <w:sz w:val="20"/>
          <w:szCs w:val="20"/>
          <w:color w:val="auto"/>
        </w:rPr>
      </w:pPr>
      <w:r>
        <w:rPr>
          <w:rFonts w:ascii="Arial" w:cs="Arial" w:eastAsia="Arial" w:hAnsi="Arial"/>
          <w:sz w:val="18"/>
          <w:szCs w:val="18"/>
          <w:color w:val="auto"/>
        </w:rPr>
        <w:t>Level 2</w:t>
        <w:tab/>
        <w:t>Inputs to the valuation methodology include: quoted prices for similar assets or liabilities in active markets; quoted prices for identical or similar assets or liabilities in inactive markets; inputs other than quoted prices that are observable for the asset or liability; and inputs that are derived principally from or corroborated by observable market data by correlation or other means. If the asset or liability has a specified (contractual) term, the Level 2 inputs must be observable for substantially the full term of the asset or liability.</w:t>
      </w:r>
    </w:p>
    <w:p>
      <w:pPr>
        <w:spacing w:after="0" w:line="139" w:lineRule="exact"/>
        <w:rPr>
          <w:sz w:val="20"/>
          <w:szCs w:val="20"/>
          <w:color w:val="auto"/>
        </w:rPr>
      </w:pPr>
    </w:p>
    <w:p>
      <w:pPr>
        <w:ind w:left="500"/>
        <w:spacing w:after="0"/>
        <w:tabs>
          <w:tab w:leader="none" w:pos="126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7"/>
          <w:szCs w:val="17"/>
          <w:color w:val="auto"/>
        </w:rPr>
        <w:t>Inputs to the valuation methodology are unobservable and significant to the fair value measurement.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Plan’s investments at fair value and by level, as applicable, as of December 31, 2025 and 2024:</w:t>
      </w:r>
    </w:p>
    <w:p>
      <w:pPr>
        <w:spacing w:after="0" w:line="154" w:lineRule="exact"/>
        <w:rPr>
          <w:sz w:val="20"/>
          <w:szCs w:val="20"/>
          <w:color w:val="auto"/>
        </w:rPr>
      </w:pPr>
    </w:p>
    <w:tbl>
      <w:tblPr>
        <w:tblLayout w:type="fixed"/>
        <w:tblInd w:w="820" w:type="dxa"/>
        <w:tblCellMar>
          <w:top w:w="0" w:type="dxa"/>
          <w:left w:w="0" w:type="dxa"/>
          <w:bottom w:w="0" w:type="dxa"/>
          <w:right w:w="0" w:type="dxa"/>
        </w:tblCellMar>
      </w:tblPr>
      <w:tr>
        <w:trPr>
          <w:trHeight w:val="194"/>
        </w:trPr>
        <w:tc>
          <w:tcPr>
            <w:tcW w:w="3660" w:type="dxa"/>
            <w:vAlign w:val="bottom"/>
          </w:tcPr>
          <w:p>
            <w:pPr>
              <w:spacing w:after="0"/>
              <w:rPr>
                <w:sz w:val="16"/>
                <w:szCs w:val="16"/>
                <w:color w:val="auto"/>
              </w:rPr>
            </w:pPr>
          </w:p>
        </w:tc>
        <w:tc>
          <w:tcPr>
            <w:tcW w:w="300" w:type="dxa"/>
            <w:vAlign w:val="bottom"/>
            <w:tcBorders>
              <w:bottom w:val="single" w:sz="8" w:color="2B4C9B"/>
            </w:tcBorders>
          </w:tcPr>
          <w:p>
            <w:pPr>
              <w:spacing w:after="0"/>
              <w:rPr>
                <w:sz w:val="16"/>
                <w:szCs w:val="16"/>
                <w:color w:val="auto"/>
              </w:rPr>
            </w:pPr>
          </w:p>
        </w:tc>
        <w:tc>
          <w:tcPr>
            <w:tcW w:w="1560" w:type="dxa"/>
            <w:vAlign w:val="bottom"/>
            <w:tcBorders>
              <w:bottom w:val="single" w:sz="8" w:color="2B4C9B"/>
            </w:tcBorders>
            <w:gridSpan w:val="2"/>
          </w:tcPr>
          <w:p>
            <w:pPr>
              <w:jc w:val="right"/>
              <w:ind w:right="168"/>
              <w:spacing w:after="0"/>
              <w:rPr>
                <w:sz w:val="20"/>
                <w:szCs w:val="20"/>
                <w:color w:val="auto"/>
              </w:rPr>
            </w:pPr>
            <w:r>
              <w:rPr>
                <w:rFonts w:ascii="Arial" w:cs="Arial" w:eastAsia="Arial" w:hAnsi="Arial"/>
                <w:sz w:val="14"/>
                <w:szCs w:val="14"/>
                <w:color w:val="auto"/>
              </w:rPr>
              <w:t>Level 1</w:t>
            </w:r>
          </w:p>
        </w:tc>
        <w:tc>
          <w:tcPr>
            <w:tcW w:w="940" w:type="dxa"/>
            <w:vAlign w:val="bottom"/>
            <w:tcBorders>
              <w:bottom w:val="single" w:sz="8" w:color="2B4C9B"/>
            </w:tcBorders>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Borders>
              <w:bottom w:val="single" w:sz="8" w:color="2B4C9B"/>
            </w:tcBorders>
          </w:tcPr>
          <w:p>
            <w:pPr>
              <w:spacing w:after="0"/>
              <w:rPr>
                <w:sz w:val="16"/>
                <w:szCs w:val="16"/>
                <w:color w:val="auto"/>
              </w:rPr>
            </w:pPr>
          </w:p>
        </w:tc>
        <w:tc>
          <w:tcPr>
            <w:tcW w:w="820" w:type="dxa"/>
            <w:vAlign w:val="bottom"/>
            <w:tcBorders>
              <w:bottom w:val="single" w:sz="8" w:color="2B4C9B"/>
            </w:tcBorders>
          </w:tcPr>
          <w:p>
            <w:pPr>
              <w:spacing w:after="0"/>
              <w:rPr>
                <w:sz w:val="16"/>
                <w:szCs w:val="16"/>
                <w:color w:val="auto"/>
              </w:rPr>
            </w:pPr>
          </w:p>
        </w:tc>
        <w:tc>
          <w:tcPr>
            <w:tcW w:w="640" w:type="dxa"/>
            <w:vAlign w:val="bottom"/>
            <w:tcBorders>
              <w:bottom w:val="single" w:sz="8" w:color="2B4C9B"/>
            </w:tcBorders>
          </w:tcPr>
          <w:p>
            <w:pPr>
              <w:jc w:val="right"/>
              <w:ind w:right="248"/>
              <w:spacing w:after="0"/>
              <w:rPr>
                <w:sz w:val="20"/>
                <w:szCs w:val="20"/>
                <w:color w:val="auto"/>
              </w:rPr>
            </w:pPr>
            <w:r>
              <w:rPr>
                <w:rFonts w:ascii="Arial" w:cs="Arial" w:eastAsia="Arial" w:hAnsi="Arial"/>
                <w:sz w:val="14"/>
                <w:szCs w:val="14"/>
                <w:color w:val="auto"/>
                <w:w w:val="96"/>
              </w:rPr>
              <w:t>Total</w:t>
            </w:r>
          </w:p>
        </w:tc>
        <w:tc>
          <w:tcPr>
            <w:tcW w:w="940" w:type="dxa"/>
            <w:vAlign w:val="bottom"/>
            <w:tcBorders>
              <w:bottom w:val="single" w:sz="8" w:color="2B4C9B"/>
            </w:tcBorders>
          </w:tcPr>
          <w:p>
            <w:pPr>
              <w:spacing w:after="0"/>
              <w:rPr>
                <w:sz w:val="16"/>
                <w:szCs w:val="16"/>
                <w:color w:val="auto"/>
              </w:rPr>
            </w:pPr>
          </w:p>
        </w:tc>
      </w:tr>
      <w:tr>
        <w:trPr>
          <w:trHeight w:val="199"/>
        </w:trPr>
        <w:tc>
          <w:tcPr>
            <w:tcW w:w="3660" w:type="dxa"/>
            <w:vAlign w:val="bottom"/>
            <w:tcBorders>
              <w:bottom w:val="single" w:sz="8" w:color="2B4C9B"/>
            </w:tcBorders>
          </w:tcPr>
          <w:p>
            <w:pPr>
              <w:spacing w:after="0"/>
              <w:rPr>
                <w:sz w:val="17"/>
                <w:szCs w:val="17"/>
                <w:color w:val="auto"/>
              </w:rPr>
            </w:pPr>
          </w:p>
        </w:tc>
        <w:tc>
          <w:tcPr>
            <w:tcW w:w="300" w:type="dxa"/>
            <w:vAlign w:val="bottom"/>
            <w:tcBorders>
              <w:bottom w:val="single" w:sz="8" w:color="2B4C9B"/>
            </w:tcBorders>
          </w:tcPr>
          <w:p>
            <w:pPr>
              <w:spacing w:after="0"/>
              <w:rPr>
                <w:sz w:val="17"/>
                <w:szCs w:val="17"/>
                <w:color w:val="auto"/>
              </w:rPr>
            </w:pPr>
          </w:p>
        </w:tc>
        <w:tc>
          <w:tcPr>
            <w:tcW w:w="1060" w:type="dxa"/>
            <w:vAlign w:val="bottom"/>
            <w:tcBorders>
              <w:bottom w:val="single" w:sz="8" w:color="2B4C9B"/>
            </w:tcBorders>
          </w:tcPr>
          <w:p>
            <w:pPr>
              <w:jc w:val="right"/>
              <w:ind w:right="88"/>
              <w:spacing w:after="0"/>
              <w:rPr>
                <w:sz w:val="20"/>
                <w:szCs w:val="20"/>
                <w:color w:val="auto"/>
              </w:rPr>
            </w:pPr>
            <w:r>
              <w:rPr>
                <w:rFonts w:ascii="Arial" w:cs="Arial" w:eastAsia="Arial" w:hAnsi="Arial"/>
                <w:sz w:val="14"/>
                <w:szCs w:val="14"/>
                <w:b w:val="1"/>
                <w:bCs w:val="1"/>
                <w:color w:val="2B4C9B"/>
              </w:rPr>
              <w:t>2025</w:t>
            </w:r>
          </w:p>
        </w:tc>
        <w:tc>
          <w:tcPr>
            <w:tcW w:w="500" w:type="dxa"/>
            <w:vAlign w:val="bottom"/>
            <w:tcBorders>
              <w:bottom w:val="single" w:sz="8" w:color="2B4C9B"/>
            </w:tcBorders>
          </w:tcPr>
          <w:p>
            <w:pPr>
              <w:spacing w:after="0"/>
              <w:rPr>
                <w:sz w:val="17"/>
                <w:szCs w:val="17"/>
                <w:color w:val="auto"/>
              </w:rPr>
            </w:pPr>
          </w:p>
        </w:tc>
        <w:tc>
          <w:tcPr>
            <w:tcW w:w="940" w:type="dxa"/>
            <w:vAlign w:val="bottom"/>
            <w:tcBorders>
              <w:bottom w:val="single" w:sz="8" w:color="2B4C9B"/>
            </w:tcBorders>
          </w:tcPr>
          <w:p>
            <w:pPr>
              <w:jc w:val="right"/>
              <w:spacing w:after="0"/>
              <w:rPr>
                <w:sz w:val="20"/>
                <w:szCs w:val="20"/>
                <w:color w:val="auto"/>
              </w:rPr>
            </w:pPr>
            <w:r>
              <w:rPr>
                <w:rFonts w:ascii="Arial" w:cs="Arial" w:eastAsia="Arial" w:hAnsi="Arial"/>
                <w:sz w:val="14"/>
                <w:szCs w:val="14"/>
                <w:color w:val="auto"/>
              </w:rPr>
              <w:t>2024</w:t>
            </w:r>
          </w:p>
        </w:tc>
        <w:tc>
          <w:tcPr>
            <w:tcW w:w="280" w:type="dxa"/>
            <w:vAlign w:val="bottom"/>
            <w:tcBorders>
              <w:bottom w:val="single" w:sz="8" w:color="2B4C9B"/>
            </w:tcBorders>
          </w:tcPr>
          <w:p>
            <w:pPr>
              <w:spacing w:after="0"/>
              <w:rPr>
                <w:sz w:val="17"/>
                <w:szCs w:val="17"/>
                <w:color w:val="auto"/>
              </w:rPr>
            </w:pPr>
          </w:p>
        </w:tc>
        <w:tc>
          <w:tcPr>
            <w:tcW w:w="460" w:type="dxa"/>
            <w:vAlign w:val="bottom"/>
            <w:tcBorders>
              <w:bottom w:val="single" w:sz="8" w:color="2B4C9B"/>
            </w:tcBorders>
          </w:tcPr>
          <w:p>
            <w:pPr>
              <w:spacing w:after="0"/>
              <w:rPr>
                <w:sz w:val="17"/>
                <w:szCs w:val="17"/>
                <w:color w:val="auto"/>
              </w:rPr>
            </w:pPr>
          </w:p>
        </w:tc>
        <w:tc>
          <w:tcPr>
            <w:tcW w:w="820" w:type="dxa"/>
            <w:vAlign w:val="bottom"/>
            <w:tcBorders>
              <w:bottom w:val="single" w:sz="8" w:color="2B4C9B"/>
            </w:tcBorders>
          </w:tcPr>
          <w:p>
            <w:pPr>
              <w:jc w:val="right"/>
              <w:spacing w:after="0"/>
              <w:rPr>
                <w:sz w:val="20"/>
                <w:szCs w:val="20"/>
                <w:color w:val="auto"/>
              </w:rPr>
            </w:pPr>
            <w:r>
              <w:rPr>
                <w:rFonts w:ascii="Arial" w:cs="Arial" w:eastAsia="Arial" w:hAnsi="Arial"/>
                <w:sz w:val="14"/>
                <w:szCs w:val="14"/>
                <w:b w:val="1"/>
                <w:bCs w:val="1"/>
                <w:color w:val="2B4C9B"/>
              </w:rPr>
              <w:t>2025</w:t>
            </w:r>
          </w:p>
        </w:tc>
        <w:tc>
          <w:tcPr>
            <w:tcW w:w="640" w:type="dxa"/>
            <w:vAlign w:val="bottom"/>
            <w:tcBorders>
              <w:bottom w:val="single" w:sz="8" w:color="2B4C9B"/>
            </w:tcBorders>
          </w:tcPr>
          <w:p>
            <w:pPr>
              <w:spacing w:after="0"/>
              <w:rPr>
                <w:sz w:val="17"/>
                <w:szCs w:val="17"/>
                <w:color w:val="auto"/>
              </w:rPr>
            </w:pPr>
          </w:p>
        </w:tc>
        <w:tc>
          <w:tcPr>
            <w:tcW w:w="940" w:type="dxa"/>
            <w:vAlign w:val="bottom"/>
            <w:tcBorders>
              <w:bottom w:val="single" w:sz="8" w:color="2B4C9B"/>
            </w:tcBorders>
          </w:tcPr>
          <w:p>
            <w:pPr>
              <w:jc w:val="right"/>
              <w:spacing w:after="0"/>
              <w:rPr>
                <w:sz w:val="20"/>
                <w:szCs w:val="20"/>
                <w:color w:val="auto"/>
              </w:rPr>
            </w:pPr>
            <w:r>
              <w:rPr>
                <w:rFonts w:ascii="Arial" w:cs="Arial" w:eastAsia="Arial" w:hAnsi="Arial"/>
                <w:sz w:val="14"/>
                <w:szCs w:val="14"/>
                <w:color w:val="auto"/>
              </w:rPr>
              <w:t>2024</w:t>
            </w:r>
          </w:p>
        </w:tc>
      </w:tr>
      <w:tr>
        <w:trPr>
          <w:trHeight w:val="193"/>
        </w:trPr>
        <w:tc>
          <w:tcPr>
            <w:tcW w:w="3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80" w:type="dxa"/>
            <w:vAlign w:val="bottom"/>
            <w:gridSpan w:val="3"/>
          </w:tcPr>
          <w:p>
            <w:pPr>
              <w:jc w:val="right"/>
              <w:ind w:right="48"/>
              <w:spacing w:after="0"/>
              <w:rPr>
                <w:sz w:val="20"/>
                <w:szCs w:val="20"/>
                <w:color w:val="auto"/>
              </w:rPr>
            </w:pPr>
            <w:r>
              <w:rPr>
                <w:rFonts w:ascii="Arial" w:cs="Arial" w:eastAsia="Arial" w:hAnsi="Arial"/>
                <w:sz w:val="14"/>
                <w:szCs w:val="14"/>
                <w:color w:val="auto"/>
              </w:rPr>
              <w:t>(in thousands)</w:t>
            </w:r>
          </w:p>
        </w:tc>
        <w:tc>
          <w:tcPr>
            <w:tcW w:w="8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07"/>
        </w:trPr>
        <w:tc>
          <w:tcPr>
            <w:tcW w:w="3660" w:type="dxa"/>
            <w:vAlign w:val="bottom"/>
            <w:shd w:val="clear" w:color="auto" w:fill="CFF0FC"/>
          </w:tcPr>
          <w:p>
            <w:pPr>
              <w:ind w:left="20"/>
              <w:spacing w:after="0"/>
              <w:rPr>
                <w:sz w:val="20"/>
                <w:szCs w:val="20"/>
                <w:color w:val="auto"/>
              </w:rPr>
            </w:pPr>
            <w:r>
              <w:rPr>
                <w:rFonts w:ascii="Arial" w:cs="Arial" w:eastAsia="Arial" w:hAnsi="Arial"/>
                <w:sz w:val="14"/>
                <w:szCs w:val="14"/>
                <w:color w:val="auto"/>
              </w:rPr>
              <w:t>Mutual funds</w:t>
            </w:r>
          </w:p>
        </w:tc>
        <w:tc>
          <w:tcPr>
            <w:tcW w:w="300" w:type="dxa"/>
            <w:vAlign w:val="bottom"/>
            <w:shd w:val="clear" w:color="auto" w:fill="CFF0FC"/>
          </w:tcPr>
          <w:p>
            <w:pPr>
              <w:jc w:val="right"/>
              <w:ind w:right="128"/>
              <w:spacing w:after="0"/>
              <w:rPr>
                <w:sz w:val="20"/>
                <w:szCs w:val="20"/>
                <w:color w:val="auto"/>
              </w:rPr>
            </w:pPr>
            <w:r>
              <w:rPr>
                <w:rFonts w:ascii="Arial" w:cs="Arial" w:eastAsia="Arial" w:hAnsi="Arial"/>
                <w:sz w:val="14"/>
                <w:szCs w:val="14"/>
                <w:b w:val="1"/>
                <w:bCs w:val="1"/>
                <w:color w:val="2B4C9B"/>
              </w:rPr>
              <w:t>$</w:t>
            </w:r>
          </w:p>
        </w:tc>
        <w:tc>
          <w:tcPr>
            <w:tcW w:w="1060" w:type="dxa"/>
            <w:vAlign w:val="bottom"/>
            <w:shd w:val="clear" w:color="auto" w:fill="CFF0FC"/>
          </w:tcPr>
          <w:p>
            <w:pPr>
              <w:jc w:val="right"/>
              <w:ind w:right="148"/>
              <w:spacing w:after="0"/>
              <w:rPr>
                <w:sz w:val="20"/>
                <w:szCs w:val="20"/>
                <w:color w:val="auto"/>
              </w:rPr>
            </w:pPr>
            <w:r>
              <w:rPr>
                <w:rFonts w:ascii="Arial" w:cs="Arial" w:eastAsia="Arial" w:hAnsi="Arial"/>
                <w:sz w:val="14"/>
                <w:szCs w:val="14"/>
                <w:b w:val="1"/>
                <w:bCs w:val="1"/>
                <w:color w:val="2B4C9B"/>
              </w:rPr>
              <w:t>1,499,759</w:t>
            </w:r>
          </w:p>
        </w:tc>
        <w:tc>
          <w:tcPr>
            <w:tcW w:w="500" w:type="dxa"/>
            <w:vAlign w:val="bottom"/>
            <w:shd w:val="clear" w:color="auto" w:fill="CFF0FC"/>
          </w:tcPr>
          <w:p>
            <w:pPr>
              <w:jc w:val="right"/>
              <w:ind w:right="188"/>
              <w:spacing w:after="0"/>
              <w:rPr>
                <w:sz w:val="20"/>
                <w:szCs w:val="20"/>
                <w:color w:val="auto"/>
              </w:rPr>
            </w:pPr>
            <w:r>
              <w:rPr>
                <w:rFonts w:ascii="Arial" w:cs="Arial" w:eastAsia="Arial" w:hAnsi="Arial"/>
                <w:sz w:val="14"/>
                <w:szCs w:val="14"/>
                <w:color w:val="auto"/>
              </w:rPr>
              <w:t>$</w:t>
            </w:r>
          </w:p>
        </w:tc>
        <w:tc>
          <w:tcPr>
            <w:tcW w:w="94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1,396,566</w:t>
            </w:r>
          </w:p>
        </w:tc>
        <w:tc>
          <w:tcPr>
            <w:tcW w:w="280" w:type="dxa"/>
            <w:vAlign w:val="bottom"/>
            <w:shd w:val="clear" w:color="auto" w:fill="CFF0FC"/>
          </w:tcPr>
          <w:p>
            <w:pPr>
              <w:spacing w:after="0"/>
              <w:rPr>
                <w:sz w:val="17"/>
                <w:szCs w:val="17"/>
                <w:color w:val="auto"/>
              </w:rPr>
            </w:pPr>
          </w:p>
        </w:tc>
        <w:tc>
          <w:tcPr>
            <w:tcW w:w="460" w:type="dxa"/>
            <w:vAlign w:val="bottom"/>
            <w:shd w:val="clear" w:color="auto" w:fill="CFF0FC"/>
          </w:tcPr>
          <w:p>
            <w:pPr>
              <w:jc w:val="right"/>
              <w:ind w:right="288"/>
              <w:spacing w:after="0"/>
              <w:rPr>
                <w:sz w:val="20"/>
                <w:szCs w:val="20"/>
                <w:color w:val="auto"/>
              </w:rPr>
            </w:pPr>
            <w:r>
              <w:rPr>
                <w:rFonts w:ascii="Arial" w:cs="Arial" w:eastAsia="Arial" w:hAnsi="Arial"/>
                <w:sz w:val="14"/>
                <w:szCs w:val="14"/>
                <w:b w:val="1"/>
                <w:bCs w:val="1"/>
                <w:color w:val="2B4C9B"/>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2B4C9B"/>
              </w:rPr>
              <w:t>1,499,759</w:t>
            </w:r>
          </w:p>
        </w:tc>
        <w:tc>
          <w:tcPr>
            <w:tcW w:w="640" w:type="dxa"/>
            <w:vAlign w:val="bottom"/>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1,396,566</w:t>
            </w:r>
          </w:p>
        </w:tc>
      </w:tr>
      <w:tr>
        <w:trPr>
          <w:trHeight w:val="201"/>
        </w:trPr>
        <w:tc>
          <w:tcPr>
            <w:tcW w:w="3660" w:type="dxa"/>
            <w:vAlign w:val="bottom"/>
          </w:tcPr>
          <w:p>
            <w:pPr>
              <w:ind w:left="20"/>
              <w:spacing w:after="0"/>
              <w:rPr>
                <w:sz w:val="20"/>
                <w:szCs w:val="20"/>
                <w:color w:val="auto"/>
              </w:rPr>
            </w:pPr>
            <w:r>
              <w:rPr>
                <w:rFonts w:ascii="Arial" w:cs="Arial" w:eastAsia="Arial" w:hAnsi="Arial"/>
                <w:sz w:val="14"/>
                <w:szCs w:val="14"/>
                <w:color w:val="auto"/>
              </w:rPr>
              <w:t>SAIC common stock</w:t>
            </w:r>
          </w:p>
        </w:tc>
        <w:tc>
          <w:tcPr>
            <w:tcW w:w="300" w:type="dxa"/>
            <w:vAlign w:val="bottom"/>
          </w:tcPr>
          <w:p>
            <w:pPr>
              <w:spacing w:after="0"/>
              <w:rPr>
                <w:sz w:val="17"/>
                <w:szCs w:val="17"/>
                <w:color w:val="auto"/>
              </w:rPr>
            </w:pPr>
          </w:p>
        </w:tc>
        <w:tc>
          <w:tcPr>
            <w:tcW w:w="1060" w:type="dxa"/>
            <w:vAlign w:val="bottom"/>
          </w:tcPr>
          <w:p>
            <w:pPr>
              <w:jc w:val="right"/>
              <w:ind w:right="148"/>
              <w:spacing w:after="0"/>
              <w:rPr>
                <w:sz w:val="20"/>
                <w:szCs w:val="20"/>
                <w:color w:val="auto"/>
              </w:rPr>
            </w:pPr>
            <w:r>
              <w:rPr>
                <w:rFonts w:ascii="Arial" w:cs="Arial" w:eastAsia="Arial" w:hAnsi="Arial"/>
                <w:sz w:val="14"/>
                <w:szCs w:val="14"/>
                <w:b w:val="1"/>
                <w:bCs w:val="1"/>
                <w:color w:val="2B4C9B"/>
              </w:rPr>
              <w:t>89,951</w:t>
            </w:r>
          </w:p>
        </w:tc>
        <w:tc>
          <w:tcPr>
            <w:tcW w:w="500" w:type="dxa"/>
            <w:vAlign w:val="bottom"/>
          </w:tcPr>
          <w:p>
            <w:pPr>
              <w:spacing w:after="0"/>
              <w:rPr>
                <w:sz w:val="17"/>
                <w:szCs w:val="17"/>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108,969</w:t>
            </w: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2B4C9B"/>
              </w:rPr>
              <w:t>89,951</w:t>
            </w:r>
          </w:p>
        </w:tc>
        <w:tc>
          <w:tcPr>
            <w:tcW w:w="6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108,969</w:t>
            </w:r>
          </w:p>
        </w:tc>
      </w:tr>
      <w:tr>
        <w:trPr>
          <w:trHeight w:val="203"/>
        </w:trPr>
        <w:tc>
          <w:tcPr>
            <w:tcW w:w="3660" w:type="dxa"/>
            <w:vAlign w:val="bottom"/>
            <w:tcBorders>
              <w:bottom w:val="single" w:sz="8" w:color="2B4C9B"/>
            </w:tcBorders>
            <w:shd w:val="clear" w:color="auto" w:fill="CFF0FC"/>
          </w:tcPr>
          <w:p>
            <w:pPr>
              <w:ind w:left="20"/>
              <w:spacing w:after="0"/>
              <w:rPr>
                <w:sz w:val="20"/>
                <w:szCs w:val="20"/>
                <w:color w:val="auto"/>
              </w:rPr>
            </w:pPr>
            <w:r>
              <w:rPr>
                <w:rFonts w:ascii="Arial" w:cs="Arial" w:eastAsia="Arial" w:hAnsi="Arial"/>
                <w:sz w:val="14"/>
                <w:szCs w:val="14"/>
                <w:color w:val="auto"/>
              </w:rPr>
              <w:t>Self-directed brokerage fund</w:t>
            </w:r>
          </w:p>
        </w:tc>
        <w:tc>
          <w:tcPr>
            <w:tcW w:w="300" w:type="dxa"/>
            <w:vAlign w:val="bottom"/>
            <w:tcBorders>
              <w:bottom w:val="single" w:sz="8" w:color="2B4C9B"/>
            </w:tcBorders>
            <w:shd w:val="clear" w:color="auto" w:fill="CFF0FC"/>
          </w:tcPr>
          <w:p>
            <w:pPr>
              <w:spacing w:after="0"/>
              <w:rPr>
                <w:sz w:val="17"/>
                <w:szCs w:val="17"/>
                <w:color w:val="auto"/>
              </w:rPr>
            </w:pPr>
          </w:p>
        </w:tc>
        <w:tc>
          <w:tcPr>
            <w:tcW w:w="1060" w:type="dxa"/>
            <w:vAlign w:val="bottom"/>
            <w:tcBorders>
              <w:bottom w:val="single" w:sz="8" w:color="2B4C9B"/>
            </w:tcBorders>
            <w:shd w:val="clear" w:color="auto" w:fill="CFF0FC"/>
          </w:tcPr>
          <w:p>
            <w:pPr>
              <w:jc w:val="right"/>
              <w:ind w:right="148"/>
              <w:spacing w:after="0"/>
              <w:rPr>
                <w:sz w:val="20"/>
                <w:szCs w:val="20"/>
                <w:color w:val="auto"/>
              </w:rPr>
            </w:pPr>
            <w:r>
              <w:rPr>
                <w:rFonts w:ascii="Arial" w:cs="Arial" w:eastAsia="Arial" w:hAnsi="Arial"/>
                <w:sz w:val="14"/>
                <w:szCs w:val="14"/>
                <w:b w:val="1"/>
                <w:bCs w:val="1"/>
                <w:color w:val="2B4C9B"/>
              </w:rPr>
              <w:t>133,017</w:t>
            </w:r>
          </w:p>
        </w:tc>
        <w:tc>
          <w:tcPr>
            <w:tcW w:w="500" w:type="dxa"/>
            <w:vAlign w:val="bottom"/>
            <w:tcBorders>
              <w:bottom w:val="single" w:sz="8" w:color="2B4C9B"/>
            </w:tcBorders>
            <w:shd w:val="clear" w:color="auto" w:fill="CFF0FC"/>
          </w:tcPr>
          <w:p>
            <w:pPr>
              <w:spacing w:after="0"/>
              <w:rPr>
                <w:sz w:val="17"/>
                <w:szCs w:val="17"/>
                <w:color w:val="auto"/>
              </w:rPr>
            </w:pPr>
          </w:p>
        </w:tc>
        <w:tc>
          <w:tcPr>
            <w:tcW w:w="940" w:type="dxa"/>
            <w:vAlign w:val="bottom"/>
            <w:tcBorders>
              <w:bottom w:val="single" w:sz="8" w:color="2B4C9B"/>
            </w:tcBorders>
            <w:shd w:val="clear" w:color="auto" w:fill="CFF0FC"/>
          </w:tcPr>
          <w:p>
            <w:pPr>
              <w:jc w:val="right"/>
              <w:ind w:right="8"/>
              <w:spacing w:after="0"/>
              <w:rPr>
                <w:sz w:val="20"/>
                <w:szCs w:val="20"/>
                <w:color w:val="auto"/>
              </w:rPr>
            </w:pPr>
            <w:r>
              <w:rPr>
                <w:rFonts w:ascii="Arial" w:cs="Arial" w:eastAsia="Arial" w:hAnsi="Arial"/>
                <w:sz w:val="14"/>
                <w:szCs w:val="14"/>
                <w:color w:val="auto"/>
              </w:rPr>
              <w:t>110,728</w:t>
            </w:r>
          </w:p>
        </w:tc>
        <w:tc>
          <w:tcPr>
            <w:tcW w:w="280" w:type="dxa"/>
            <w:vAlign w:val="bottom"/>
            <w:tcBorders>
              <w:bottom w:val="single" w:sz="8" w:color="2B4C9B"/>
            </w:tcBorders>
            <w:shd w:val="clear" w:color="auto" w:fill="CFF0FC"/>
          </w:tcPr>
          <w:p>
            <w:pPr>
              <w:spacing w:after="0"/>
              <w:rPr>
                <w:sz w:val="17"/>
                <w:szCs w:val="17"/>
                <w:color w:val="auto"/>
              </w:rPr>
            </w:pPr>
          </w:p>
        </w:tc>
        <w:tc>
          <w:tcPr>
            <w:tcW w:w="460" w:type="dxa"/>
            <w:vAlign w:val="bottom"/>
            <w:tcBorders>
              <w:bottom w:val="single" w:sz="8" w:color="2B4C9B"/>
            </w:tcBorders>
            <w:shd w:val="clear" w:color="auto" w:fill="CFF0FC"/>
          </w:tcPr>
          <w:p>
            <w:pPr>
              <w:spacing w:after="0"/>
              <w:rPr>
                <w:sz w:val="17"/>
                <w:szCs w:val="17"/>
                <w:color w:val="auto"/>
              </w:rPr>
            </w:pPr>
          </w:p>
        </w:tc>
        <w:tc>
          <w:tcPr>
            <w:tcW w:w="82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4"/>
                <w:szCs w:val="14"/>
                <w:b w:val="1"/>
                <w:bCs w:val="1"/>
                <w:color w:val="2B4C9B"/>
              </w:rPr>
              <w:t>133,017</w:t>
            </w:r>
          </w:p>
        </w:tc>
        <w:tc>
          <w:tcPr>
            <w:tcW w:w="640" w:type="dxa"/>
            <w:vAlign w:val="bottom"/>
            <w:tcBorders>
              <w:bottom w:val="single" w:sz="8" w:color="2B4C9B"/>
            </w:tcBorders>
            <w:shd w:val="clear" w:color="auto" w:fill="CFF0FC"/>
          </w:tcPr>
          <w:p>
            <w:pPr>
              <w:spacing w:after="0"/>
              <w:rPr>
                <w:sz w:val="17"/>
                <w:szCs w:val="17"/>
                <w:color w:val="auto"/>
              </w:rPr>
            </w:pPr>
          </w:p>
        </w:tc>
        <w:tc>
          <w:tcPr>
            <w:tcW w:w="94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4"/>
                <w:szCs w:val="14"/>
                <w:color w:val="auto"/>
              </w:rPr>
              <w:t>110,728</w:t>
            </w:r>
          </w:p>
        </w:tc>
      </w:tr>
      <w:tr>
        <w:trPr>
          <w:trHeight w:val="196"/>
        </w:trPr>
        <w:tc>
          <w:tcPr>
            <w:tcW w:w="3660" w:type="dxa"/>
            <w:vAlign w:val="bottom"/>
            <w:tcBorders>
              <w:bottom w:val="single" w:sz="8" w:color="2B4C9B"/>
            </w:tcBorders>
          </w:tcPr>
          <w:p>
            <w:pPr>
              <w:ind w:left="20"/>
              <w:spacing w:after="0"/>
              <w:rPr>
                <w:sz w:val="20"/>
                <w:szCs w:val="20"/>
                <w:color w:val="auto"/>
              </w:rPr>
            </w:pPr>
            <w:r>
              <w:rPr>
                <w:rFonts w:ascii="Arial" w:cs="Arial" w:eastAsia="Arial" w:hAnsi="Arial"/>
                <w:sz w:val="14"/>
                <w:szCs w:val="14"/>
                <w:color w:val="auto"/>
              </w:rPr>
              <w:t>Subtotal</w:t>
            </w:r>
          </w:p>
        </w:tc>
        <w:tc>
          <w:tcPr>
            <w:tcW w:w="300" w:type="dxa"/>
            <w:vAlign w:val="bottom"/>
            <w:tcBorders>
              <w:bottom w:val="single" w:sz="8" w:color="2B4C9B"/>
            </w:tcBorders>
          </w:tcPr>
          <w:p>
            <w:pPr>
              <w:jc w:val="right"/>
              <w:ind w:right="128"/>
              <w:spacing w:after="0"/>
              <w:rPr>
                <w:sz w:val="20"/>
                <w:szCs w:val="20"/>
                <w:color w:val="auto"/>
              </w:rPr>
            </w:pPr>
            <w:r>
              <w:rPr>
                <w:rFonts w:ascii="Arial" w:cs="Arial" w:eastAsia="Arial" w:hAnsi="Arial"/>
                <w:sz w:val="14"/>
                <w:szCs w:val="14"/>
                <w:b w:val="1"/>
                <w:bCs w:val="1"/>
                <w:color w:val="2B4C9B"/>
              </w:rPr>
              <w:t>$</w:t>
            </w:r>
          </w:p>
        </w:tc>
        <w:tc>
          <w:tcPr>
            <w:tcW w:w="1060" w:type="dxa"/>
            <w:vAlign w:val="bottom"/>
            <w:tcBorders>
              <w:bottom w:val="single" w:sz="8" w:color="2B4C9B"/>
            </w:tcBorders>
          </w:tcPr>
          <w:p>
            <w:pPr>
              <w:jc w:val="right"/>
              <w:ind w:right="148"/>
              <w:spacing w:after="0"/>
              <w:rPr>
                <w:sz w:val="20"/>
                <w:szCs w:val="20"/>
                <w:color w:val="auto"/>
              </w:rPr>
            </w:pPr>
            <w:r>
              <w:rPr>
                <w:rFonts w:ascii="Arial" w:cs="Arial" w:eastAsia="Arial" w:hAnsi="Arial"/>
                <w:sz w:val="14"/>
                <w:szCs w:val="14"/>
                <w:b w:val="1"/>
                <w:bCs w:val="1"/>
                <w:color w:val="2B4C9B"/>
              </w:rPr>
              <w:t>1,722,727</w:t>
            </w:r>
          </w:p>
        </w:tc>
        <w:tc>
          <w:tcPr>
            <w:tcW w:w="500" w:type="dxa"/>
            <w:vAlign w:val="bottom"/>
            <w:tcBorders>
              <w:bottom w:val="single" w:sz="8" w:color="2B4C9B"/>
            </w:tcBorders>
          </w:tcPr>
          <w:p>
            <w:pPr>
              <w:jc w:val="right"/>
              <w:ind w:right="18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2B4C9B"/>
            </w:tcBorders>
          </w:tcPr>
          <w:p>
            <w:pPr>
              <w:jc w:val="right"/>
              <w:ind w:right="8"/>
              <w:spacing w:after="0"/>
              <w:rPr>
                <w:sz w:val="20"/>
                <w:szCs w:val="20"/>
                <w:color w:val="auto"/>
              </w:rPr>
            </w:pPr>
            <w:r>
              <w:rPr>
                <w:rFonts w:ascii="Arial" w:cs="Arial" w:eastAsia="Arial" w:hAnsi="Arial"/>
                <w:sz w:val="14"/>
                <w:szCs w:val="14"/>
                <w:color w:val="auto"/>
              </w:rPr>
              <w:t>1,616,263</w:t>
            </w:r>
          </w:p>
        </w:tc>
        <w:tc>
          <w:tcPr>
            <w:tcW w:w="280" w:type="dxa"/>
            <w:vAlign w:val="bottom"/>
            <w:tcBorders>
              <w:bottom w:val="single" w:sz="8" w:color="2B4C9B"/>
            </w:tcBorders>
          </w:tcPr>
          <w:p>
            <w:pPr>
              <w:spacing w:after="0"/>
              <w:rPr>
                <w:sz w:val="17"/>
                <w:szCs w:val="17"/>
                <w:color w:val="auto"/>
              </w:rPr>
            </w:pPr>
          </w:p>
        </w:tc>
        <w:tc>
          <w:tcPr>
            <w:tcW w:w="460" w:type="dxa"/>
            <w:vAlign w:val="bottom"/>
            <w:tcBorders>
              <w:bottom w:val="single" w:sz="8" w:color="2B4C9B"/>
            </w:tcBorders>
          </w:tcPr>
          <w:p>
            <w:pPr>
              <w:jc w:val="right"/>
              <w:ind w:right="288"/>
              <w:spacing w:after="0"/>
              <w:rPr>
                <w:sz w:val="20"/>
                <w:szCs w:val="20"/>
                <w:color w:val="auto"/>
              </w:rPr>
            </w:pPr>
            <w:r>
              <w:rPr>
                <w:rFonts w:ascii="Arial" w:cs="Arial" w:eastAsia="Arial" w:hAnsi="Arial"/>
                <w:sz w:val="14"/>
                <w:szCs w:val="14"/>
                <w:b w:val="1"/>
                <w:bCs w:val="1"/>
                <w:color w:val="2B4C9B"/>
              </w:rPr>
              <w:t>$</w:t>
            </w:r>
          </w:p>
        </w:tc>
        <w:tc>
          <w:tcPr>
            <w:tcW w:w="820" w:type="dxa"/>
            <w:vAlign w:val="bottom"/>
            <w:tcBorders>
              <w:bottom w:val="single" w:sz="8" w:color="2B4C9B"/>
            </w:tcBorders>
          </w:tcPr>
          <w:p>
            <w:pPr>
              <w:jc w:val="right"/>
              <w:spacing w:after="0"/>
              <w:rPr>
                <w:sz w:val="20"/>
                <w:szCs w:val="20"/>
                <w:color w:val="auto"/>
              </w:rPr>
            </w:pPr>
            <w:r>
              <w:rPr>
                <w:rFonts w:ascii="Arial" w:cs="Arial" w:eastAsia="Arial" w:hAnsi="Arial"/>
                <w:sz w:val="14"/>
                <w:szCs w:val="14"/>
                <w:b w:val="1"/>
                <w:bCs w:val="1"/>
                <w:color w:val="2B4C9B"/>
              </w:rPr>
              <w:t>1,722,727</w:t>
            </w:r>
          </w:p>
        </w:tc>
        <w:tc>
          <w:tcPr>
            <w:tcW w:w="640" w:type="dxa"/>
            <w:vAlign w:val="bottom"/>
            <w:tcBorders>
              <w:bottom w:val="single" w:sz="8" w:color="2B4C9B"/>
            </w:tcBorders>
          </w:tcPr>
          <w:p>
            <w:pPr>
              <w:jc w:val="right"/>
              <w:ind w:right="16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2B4C9B"/>
            </w:tcBorders>
          </w:tcPr>
          <w:p>
            <w:pPr>
              <w:jc w:val="right"/>
              <w:spacing w:after="0"/>
              <w:rPr>
                <w:sz w:val="20"/>
                <w:szCs w:val="20"/>
                <w:color w:val="auto"/>
              </w:rPr>
            </w:pPr>
            <w:r>
              <w:rPr>
                <w:rFonts w:ascii="Arial" w:cs="Arial" w:eastAsia="Arial" w:hAnsi="Arial"/>
                <w:sz w:val="14"/>
                <w:szCs w:val="14"/>
                <w:color w:val="auto"/>
              </w:rPr>
              <w:t>1,616,263</w:t>
            </w:r>
          </w:p>
        </w:tc>
      </w:tr>
      <w:tr>
        <w:trPr>
          <w:trHeight w:val="196"/>
        </w:trPr>
        <w:tc>
          <w:tcPr>
            <w:tcW w:w="3660" w:type="dxa"/>
            <w:vAlign w:val="bottom"/>
            <w:shd w:val="clear" w:color="auto" w:fill="CFF0FC"/>
          </w:tcPr>
          <w:p>
            <w:pPr>
              <w:ind w:left="20"/>
              <w:spacing w:after="0"/>
              <w:rPr>
                <w:sz w:val="20"/>
                <w:szCs w:val="20"/>
                <w:color w:val="auto"/>
              </w:rPr>
            </w:pPr>
            <w:r>
              <w:rPr>
                <w:rFonts w:ascii="Arial" w:cs="Arial" w:eastAsia="Arial" w:hAnsi="Arial"/>
                <w:sz w:val="14"/>
                <w:szCs w:val="14"/>
                <w:color w:val="auto"/>
              </w:rPr>
              <w:t>Collective trusts—measured at NAV</w:t>
            </w:r>
          </w:p>
        </w:tc>
        <w:tc>
          <w:tcPr>
            <w:tcW w:w="3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60" w:type="dxa"/>
            <w:vAlign w:val="bottom"/>
            <w:tcBorders>
              <w:bottom w:val="single" w:sz="8" w:color="2B4C9B"/>
            </w:tcBorders>
            <w:shd w:val="clear" w:color="auto" w:fill="CFF0FC"/>
          </w:tcPr>
          <w:p>
            <w:pPr>
              <w:spacing w:after="0"/>
              <w:rPr>
                <w:sz w:val="17"/>
                <w:szCs w:val="17"/>
                <w:color w:val="auto"/>
              </w:rPr>
            </w:pPr>
          </w:p>
        </w:tc>
        <w:tc>
          <w:tcPr>
            <w:tcW w:w="82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4"/>
                <w:szCs w:val="14"/>
                <w:b w:val="1"/>
                <w:bCs w:val="1"/>
                <w:color w:val="2B4C9B"/>
              </w:rPr>
              <w:t>4,208,689</w:t>
            </w:r>
          </w:p>
        </w:tc>
        <w:tc>
          <w:tcPr>
            <w:tcW w:w="640" w:type="dxa"/>
            <w:vAlign w:val="bottom"/>
            <w:tcBorders>
              <w:bottom w:val="single" w:sz="8" w:color="2B4C9B"/>
            </w:tcBorders>
            <w:shd w:val="clear" w:color="auto" w:fill="CFF0FC"/>
          </w:tcPr>
          <w:p>
            <w:pPr>
              <w:spacing w:after="0"/>
              <w:rPr>
                <w:sz w:val="17"/>
                <w:szCs w:val="17"/>
                <w:color w:val="auto"/>
              </w:rPr>
            </w:pPr>
          </w:p>
        </w:tc>
        <w:tc>
          <w:tcPr>
            <w:tcW w:w="94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4"/>
                <w:szCs w:val="14"/>
                <w:color w:val="auto"/>
              </w:rPr>
              <w:t>3,749,958</w:t>
            </w:r>
          </w:p>
        </w:tc>
      </w:tr>
      <w:tr>
        <w:trPr>
          <w:trHeight w:val="204"/>
        </w:trPr>
        <w:tc>
          <w:tcPr>
            <w:tcW w:w="3660" w:type="dxa"/>
            <w:vAlign w:val="bottom"/>
          </w:tcPr>
          <w:p>
            <w:pPr>
              <w:ind w:left="20"/>
              <w:spacing w:after="0"/>
              <w:rPr>
                <w:sz w:val="20"/>
                <w:szCs w:val="20"/>
                <w:color w:val="auto"/>
              </w:rPr>
            </w:pPr>
            <w:r>
              <w:rPr>
                <w:rFonts w:ascii="Arial" w:cs="Arial" w:eastAsia="Arial" w:hAnsi="Arial"/>
                <w:sz w:val="14"/>
                <w:szCs w:val="14"/>
                <w:color w:val="auto"/>
              </w:rPr>
              <w:t>Total</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Borders>
              <w:bottom w:val="single" w:sz="8" w:color="2B4C9B"/>
            </w:tcBorders>
          </w:tcPr>
          <w:p>
            <w:pPr>
              <w:jc w:val="right"/>
              <w:ind w:right="288"/>
              <w:spacing w:after="0"/>
              <w:rPr>
                <w:sz w:val="20"/>
                <w:szCs w:val="20"/>
                <w:color w:val="auto"/>
              </w:rPr>
            </w:pPr>
            <w:r>
              <w:rPr>
                <w:rFonts w:ascii="Arial" w:cs="Arial" w:eastAsia="Arial" w:hAnsi="Arial"/>
                <w:sz w:val="14"/>
                <w:szCs w:val="14"/>
                <w:b w:val="1"/>
                <w:bCs w:val="1"/>
                <w:color w:val="2B4C9B"/>
              </w:rPr>
              <w:t>$</w:t>
            </w:r>
          </w:p>
        </w:tc>
        <w:tc>
          <w:tcPr>
            <w:tcW w:w="820" w:type="dxa"/>
            <w:vAlign w:val="bottom"/>
            <w:tcBorders>
              <w:bottom w:val="single" w:sz="8" w:color="2B4C9B"/>
            </w:tcBorders>
          </w:tcPr>
          <w:p>
            <w:pPr>
              <w:jc w:val="right"/>
              <w:spacing w:after="0"/>
              <w:rPr>
                <w:sz w:val="20"/>
                <w:szCs w:val="20"/>
                <w:color w:val="auto"/>
              </w:rPr>
            </w:pPr>
            <w:r>
              <w:rPr>
                <w:rFonts w:ascii="Arial" w:cs="Arial" w:eastAsia="Arial" w:hAnsi="Arial"/>
                <w:sz w:val="14"/>
                <w:szCs w:val="14"/>
                <w:b w:val="1"/>
                <w:bCs w:val="1"/>
                <w:color w:val="2B4C9B"/>
              </w:rPr>
              <w:t>5,931,416</w:t>
            </w:r>
          </w:p>
        </w:tc>
        <w:tc>
          <w:tcPr>
            <w:tcW w:w="640" w:type="dxa"/>
            <w:vAlign w:val="bottom"/>
            <w:tcBorders>
              <w:bottom w:val="single" w:sz="8" w:color="2B4C9B"/>
            </w:tcBorders>
          </w:tcPr>
          <w:p>
            <w:pPr>
              <w:jc w:val="right"/>
              <w:ind w:right="16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2B4C9B"/>
            </w:tcBorders>
          </w:tcPr>
          <w:p>
            <w:pPr>
              <w:jc w:val="right"/>
              <w:spacing w:after="0"/>
              <w:rPr>
                <w:sz w:val="20"/>
                <w:szCs w:val="20"/>
                <w:color w:val="auto"/>
              </w:rPr>
            </w:pPr>
            <w:r>
              <w:rPr>
                <w:rFonts w:ascii="Arial" w:cs="Arial" w:eastAsia="Arial" w:hAnsi="Arial"/>
                <w:sz w:val="14"/>
                <w:szCs w:val="14"/>
                <w:color w:val="auto"/>
              </w:rPr>
              <w:t>5,366,221</w:t>
            </w:r>
          </w:p>
        </w:tc>
      </w:tr>
    </w:tbl>
    <w:p>
      <w:pPr>
        <w:spacing w:after="0" w:line="200" w:lineRule="exact"/>
        <w:rPr>
          <w:sz w:val="20"/>
          <w:szCs w:val="20"/>
          <w:color w:val="auto"/>
        </w:rPr>
      </w:pPr>
    </w:p>
    <w:p>
      <w:pPr>
        <w:spacing w:after="0" w:line="29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010202"/>
        </w:rPr>
        <w:t xml:space="preserve">Collective trusts are measured at fair value using NAV as a practical expedient for fair value and have not been categorized in the fair value hierarchy. The fair value amounts presented in the table are intended to permit reconciliation of the fair value hierarchy to the amounts presented in the Statements of Net Assets Available for Benefits. The Plan has no unfunded commitments to the collective trusts, and there are no redemption restrictions. There were no Level 2 or Level 3 investments as of </w:t>
      </w:r>
      <w:r>
        <w:rPr>
          <w:rFonts w:ascii="Arial" w:cs="Arial" w:eastAsia="Arial" w:hAnsi="Arial"/>
          <w:sz w:val="18"/>
          <w:szCs w:val="18"/>
          <w:color w:val="000000"/>
        </w:rPr>
        <w:t>December 31, 2025</w:t>
      </w:r>
      <w:r>
        <w:rPr>
          <w:rFonts w:ascii="Arial" w:cs="Arial" w:eastAsia="Arial" w:hAnsi="Arial"/>
          <w:sz w:val="18"/>
          <w:szCs w:val="18"/>
          <w:color w:val="010202"/>
        </w:rPr>
        <w:t xml:space="preserve"> and </w:t>
      </w:r>
      <w:r>
        <w:rPr>
          <w:rFonts w:ascii="Arial" w:cs="Arial" w:eastAsia="Arial" w:hAnsi="Arial"/>
          <w:sz w:val="18"/>
          <w:szCs w:val="18"/>
          <w:color w:val="000000"/>
        </w:rPr>
        <w:t>2024</w:t>
      </w:r>
      <w:r>
        <w:rPr>
          <w:rFonts w:ascii="Arial" w:cs="Arial" w:eastAsia="Arial" w:hAnsi="Arial"/>
          <w:sz w:val="18"/>
          <w:szCs w:val="18"/>
          <w:color w:val="010202"/>
        </w:rPr>
        <w:t>.</w:t>
      </w:r>
    </w:p>
    <w:p>
      <w:pPr>
        <w:spacing w:after="0" w:line="200" w:lineRule="exact"/>
        <w:rPr>
          <w:sz w:val="20"/>
          <w:szCs w:val="20"/>
          <w:color w:val="auto"/>
        </w:rPr>
      </w:pPr>
    </w:p>
    <w:p>
      <w:pPr>
        <w:spacing w:after="0" w:line="287" w:lineRule="exact"/>
        <w:rPr>
          <w:sz w:val="20"/>
          <w:szCs w:val="20"/>
          <w:color w:val="auto"/>
        </w:rPr>
      </w:pPr>
    </w:p>
    <w:p>
      <w:pPr>
        <w:ind w:left="360" w:hanging="352"/>
        <w:spacing w:after="0"/>
        <w:tabs>
          <w:tab w:leader="none" w:pos="360" w:val="left"/>
        </w:tabs>
        <w:numPr>
          <w:ilvl w:val="0"/>
          <w:numId w:val="8"/>
        </w:numPr>
        <w:rPr>
          <w:rFonts w:ascii="Arial" w:cs="Arial" w:eastAsia="Arial" w:hAnsi="Arial"/>
          <w:sz w:val="18"/>
          <w:szCs w:val="18"/>
          <w:b w:val="1"/>
          <w:bCs w:val="1"/>
          <w:color w:val="2B4C9B"/>
        </w:rPr>
      </w:pPr>
      <w:r>
        <w:rPr>
          <w:rFonts w:ascii="Arial" w:cs="Arial" w:eastAsia="Arial" w:hAnsi="Arial"/>
          <w:sz w:val="18"/>
          <w:szCs w:val="18"/>
          <w:b w:val="1"/>
          <w:bCs w:val="1"/>
          <w:color w:val="2B4C9B"/>
        </w:rPr>
        <w:t>SUBSEQUENT EVENTS</w:t>
      </w:r>
    </w:p>
    <w:p>
      <w:pPr>
        <w:spacing w:after="0" w:line="239" w:lineRule="exact"/>
        <w:rPr>
          <w:sz w:val="20"/>
          <w:szCs w:val="20"/>
          <w:color w:val="auto"/>
        </w:rPr>
      </w:pPr>
    </w:p>
    <w:p>
      <w:pPr>
        <w:ind w:right="460"/>
        <w:spacing w:after="0" w:line="271" w:lineRule="auto"/>
        <w:rPr>
          <w:sz w:val="20"/>
          <w:szCs w:val="20"/>
          <w:color w:val="auto"/>
        </w:rPr>
      </w:pPr>
      <w:r>
        <w:rPr>
          <w:rFonts w:ascii="Arial" w:cs="Arial" w:eastAsia="Arial" w:hAnsi="Arial"/>
          <w:sz w:val="18"/>
          <w:szCs w:val="18"/>
          <w:color w:val="auto"/>
        </w:rPr>
        <w:t>In preparing the accompanying financial statements, management of the Plan has evaluated all subsequent events and transactions for potential recognition or disclosure through June 17, 2026, the date the financial statements were issued.</w:t>
      </w:r>
    </w:p>
    <w:p>
      <w:pPr>
        <w:spacing w:after="0" w:line="181"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2B4C9B"/>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2B4C9B"/>
        </w:rPr>
        <w:t>SCIENCE APPLICATIONS INTERNATIONAL CORPORATION RETIREMENT PLAN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B4C9B"/>
        </w:rPr>
        <w:t>SUPPLEMENTAL SCHEDULE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B4C9B"/>
        </w:rPr>
        <w:t>FORM 5500, SCHEDULE H, PART IV, LINE 4i—SCHEDULE OF ASSETS (HELD AT END OF YEAR)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B4C9B"/>
        </w:rPr>
        <w:t>AS OF December 31, 2025</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00" w:type="dxa"/>
            <w:vAlign w:val="bottom"/>
            <w:tcBorders>
              <w:bottom w:val="single" w:sz="8" w:color="2B4C9B"/>
            </w:tcBorders>
          </w:tcPr>
          <w:p>
            <w:pPr>
              <w:spacing w:after="0"/>
              <w:rPr>
                <w:sz w:val="18"/>
                <w:szCs w:val="18"/>
                <w:color w:val="auto"/>
              </w:rPr>
            </w:pPr>
          </w:p>
        </w:tc>
        <w:tc>
          <w:tcPr>
            <w:tcW w:w="5240" w:type="dxa"/>
            <w:vAlign w:val="bottom"/>
            <w:tcBorders>
              <w:bottom w:val="single" w:sz="8" w:color="2B4C9B"/>
            </w:tcBorders>
          </w:tcPr>
          <w:p>
            <w:pPr>
              <w:spacing w:after="0"/>
              <w:rPr>
                <w:sz w:val="18"/>
                <w:szCs w:val="18"/>
                <w:color w:val="auto"/>
              </w:rPr>
            </w:pPr>
          </w:p>
        </w:tc>
        <w:tc>
          <w:tcPr>
            <w:tcW w:w="3060" w:type="dxa"/>
            <w:vAlign w:val="bottom"/>
            <w:tcBorders>
              <w:bottom w:val="single" w:sz="8" w:color="2B4C9B"/>
            </w:tcBorders>
          </w:tcPr>
          <w:p>
            <w:pPr>
              <w:ind w:left="440"/>
              <w:spacing w:after="0"/>
              <w:rPr>
                <w:sz w:val="20"/>
                <w:szCs w:val="20"/>
                <w:color w:val="auto"/>
              </w:rPr>
            </w:pPr>
            <w:r>
              <w:rPr>
                <w:rFonts w:ascii="Arial" w:cs="Arial" w:eastAsia="Arial" w:hAnsi="Arial"/>
                <w:sz w:val="16"/>
                <w:szCs w:val="16"/>
                <w:b w:val="1"/>
                <w:bCs w:val="1"/>
                <w:color w:val="auto"/>
              </w:rPr>
              <w:t>EIN: 30-6419427</w:t>
            </w:r>
          </w:p>
        </w:tc>
        <w:tc>
          <w:tcPr>
            <w:tcW w:w="1120" w:type="dxa"/>
            <w:vAlign w:val="bottom"/>
            <w:tcBorders>
              <w:bottom w:val="single" w:sz="8" w:color="2B4C9B"/>
            </w:tcBorders>
          </w:tcPr>
          <w:p>
            <w:pPr>
              <w:ind w:left="160"/>
              <w:spacing w:after="0"/>
              <w:rPr>
                <w:sz w:val="20"/>
                <w:szCs w:val="20"/>
                <w:color w:val="auto"/>
              </w:rPr>
            </w:pPr>
            <w:r>
              <w:rPr>
                <w:rFonts w:ascii="Arial" w:cs="Arial" w:eastAsia="Arial" w:hAnsi="Arial"/>
                <w:sz w:val="16"/>
                <w:szCs w:val="16"/>
                <w:b w:val="1"/>
                <w:bCs w:val="1"/>
                <w:color w:val="auto"/>
              </w:rPr>
              <w:t>Plan #001</w:t>
            </w:r>
          </w:p>
        </w:tc>
        <w:tc>
          <w:tcPr>
            <w:tcW w:w="340" w:type="dxa"/>
            <w:vAlign w:val="bottom"/>
            <w:tcBorders>
              <w:bottom w:val="single" w:sz="8" w:color="2B4C9B"/>
            </w:tcBorders>
          </w:tcPr>
          <w:p>
            <w:pPr>
              <w:spacing w:after="0"/>
              <w:rPr>
                <w:sz w:val="18"/>
                <w:szCs w:val="18"/>
                <w:color w:val="auto"/>
              </w:rPr>
            </w:pPr>
          </w:p>
        </w:tc>
        <w:tc>
          <w:tcPr>
            <w:tcW w:w="1080" w:type="dxa"/>
            <w:vAlign w:val="bottom"/>
            <w:tcBorders>
              <w:bottom w:val="single" w:sz="8" w:color="2B4C9B"/>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40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3060" w:type="dxa"/>
            <w:vAlign w:val="bottom"/>
          </w:tcPr>
          <w:p>
            <w:pPr>
              <w:jc w:val="center"/>
              <w:ind w:left="199"/>
              <w:spacing w:after="0" w:line="155" w:lineRule="exact"/>
              <w:rPr>
                <w:sz w:val="20"/>
                <w:szCs w:val="20"/>
                <w:color w:val="auto"/>
              </w:rPr>
            </w:pPr>
            <w:r>
              <w:rPr>
                <w:rFonts w:ascii="Arial" w:cs="Arial" w:eastAsia="Arial" w:hAnsi="Arial"/>
                <w:sz w:val="16"/>
                <w:szCs w:val="16"/>
                <w:b w:val="1"/>
                <w:bCs w:val="1"/>
                <w:color w:val="auto"/>
              </w:rPr>
              <w:t>(c) Description of Investment</w:t>
            </w:r>
          </w:p>
        </w:tc>
        <w:tc>
          <w:tcPr>
            <w:tcW w:w="1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(e) Current</w:t>
            </w:r>
          </w:p>
        </w:tc>
        <w:tc>
          <w:tcPr>
            <w:tcW w:w="0" w:type="dxa"/>
            <w:vAlign w:val="bottom"/>
          </w:tcPr>
          <w:p>
            <w:pPr>
              <w:spacing w:after="0"/>
              <w:rPr>
                <w:sz w:val="1"/>
                <w:szCs w:val="1"/>
                <w:color w:val="auto"/>
              </w:rPr>
            </w:pPr>
          </w:p>
        </w:tc>
      </w:tr>
      <w:tr>
        <w:trPr>
          <w:trHeight w:val="162"/>
        </w:trPr>
        <w:tc>
          <w:tcPr>
            <w:tcW w:w="4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(a)</w:t>
            </w:r>
          </w:p>
        </w:tc>
        <w:tc>
          <w:tcPr>
            <w:tcW w:w="5240" w:type="dxa"/>
            <w:vAlign w:val="bottom"/>
            <w:vMerge w:val="restart"/>
          </w:tcPr>
          <w:p>
            <w:pPr>
              <w:ind w:left="620"/>
              <w:spacing w:after="0"/>
              <w:rPr>
                <w:sz w:val="20"/>
                <w:szCs w:val="20"/>
                <w:color w:val="auto"/>
              </w:rPr>
            </w:pPr>
            <w:r>
              <w:rPr>
                <w:rFonts w:ascii="Arial" w:cs="Arial" w:eastAsia="Arial" w:hAnsi="Arial"/>
                <w:sz w:val="16"/>
                <w:szCs w:val="16"/>
                <w:b w:val="1"/>
                <w:bCs w:val="1"/>
                <w:color w:val="auto"/>
              </w:rPr>
              <w:t>(b) Identity of Issue, Borrower, Lessor, or Similar Party</w:t>
            </w:r>
          </w:p>
        </w:tc>
        <w:tc>
          <w:tcPr>
            <w:tcW w:w="3060" w:type="dxa"/>
            <w:vAlign w:val="bottom"/>
          </w:tcPr>
          <w:p>
            <w:pPr>
              <w:ind w:left="460"/>
              <w:spacing w:after="0" w:line="162" w:lineRule="exact"/>
              <w:rPr>
                <w:sz w:val="20"/>
                <w:szCs w:val="20"/>
                <w:color w:val="auto"/>
              </w:rPr>
            </w:pPr>
            <w:r>
              <w:rPr>
                <w:rFonts w:ascii="Arial" w:cs="Arial" w:eastAsia="Arial" w:hAnsi="Arial"/>
                <w:sz w:val="16"/>
                <w:szCs w:val="16"/>
                <w:b w:val="1"/>
                <w:bCs w:val="1"/>
                <w:color w:val="auto"/>
              </w:rPr>
              <w:t>Including Maturity Date, Rate of</w:t>
            </w:r>
          </w:p>
        </w:tc>
        <w:tc>
          <w:tcPr>
            <w:tcW w:w="1120" w:type="dxa"/>
            <w:vAlign w:val="bottom"/>
            <w:vMerge w:val="restart"/>
          </w:tcPr>
          <w:p>
            <w:pPr>
              <w:ind w:left="280"/>
              <w:spacing w:after="0"/>
              <w:rPr>
                <w:sz w:val="20"/>
                <w:szCs w:val="20"/>
                <w:color w:val="auto"/>
              </w:rPr>
            </w:pPr>
            <w:r>
              <w:rPr>
                <w:rFonts w:ascii="Arial" w:cs="Arial" w:eastAsia="Arial" w:hAnsi="Arial"/>
                <w:sz w:val="16"/>
                <w:szCs w:val="16"/>
                <w:b w:val="1"/>
                <w:bCs w:val="1"/>
                <w:color w:val="auto"/>
              </w:rPr>
              <w:t>(d) Cost</w:t>
            </w:r>
          </w:p>
        </w:tc>
        <w:tc>
          <w:tcPr>
            <w:tcW w:w="34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00" w:type="dxa"/>
            <w:vAlign w:val="bottom"/>
            <w:tcBorders>
              <w:bottom w:val="single" w:sz="8" w:color="2B4C9B"/>
            </w:tcBorders>
            <w:vMerge w:val="continue"/>
          </w:tcPr>
          <w:p>
            <w:pPr>
              <w:spacing w:after="0"/>
              <w:rPr>
                <w:sz w:val="18"/>
                <w:szCs w:val="18"/>
                <w:color w:val="auto"/>
              </w:rPr>
            </w:pPr>
          </w:p>
        </w:tc>
        <w:tc>
          <w:tcPr>
            <w:tcW w:w="5240" w:type="dxa"/>
            <w:vAlign w:val="bottom"/>
            <w:tcBorders>
              <w:bottom w:val="single" w:sz="8" w:color="2B4C9B"/>
            </w:tcBorders>
            <w:vMerge w:val="continue"/>
          </w:tcPr>
          <w:p>
            <w:pPr>
              <w:spacing w:after="0"/>
              <w:rPr>
                <w:sz w:val="18"/>
                <w:szCs w:val="18"/>
                <w:color w:val="auto"/>
              </w:rPr>
            </w:pPr>
          </w:p>
        </w:tc>
        <w:tc>
          <w:tcPr>
            <w:tcW w:w="3060" w:type="dxa"/>
            <w:vAlign w:val="bottom"/>
            <w:tcBorders>
              <w:bottom w:val="single" w:sz="8" w:color="2B4C9B"/>
            </w:tcBorders>
          </w:tcPr>
          <w:p>
            <w:pPr>
              <w:jc w:val="center"/>
              <w:ind w:left="199"/>
              <w:spacing w:after="0"/>
              <w:rPr>
                <w:sz w:val="20"/>
                <w:szCs w:val="20"/>
                <w:color w:val="auto"/>
              </w:rPr>
            </w:pPr>
            <w:r>
              <w:rPr>
                <w:rFonts w:ascii="Arial" w:cs="Arial" w:eastAsia="Arial" w:hAnsi="Arial"/>
                <w:sz w:val="16"/>
                <w:szCs w:val="16"/>
                <w:b w:val="1"/>
                <w:bCs w:val="1"/>
                <w:color w:val="auto"/>
              </w:rPr>
              <w:t>Interest and Collateral</w:t>
            </w:r>
          </w:p>
        </w:tc>
        <w:tc>
          <w:tcPr>
            <w:tcW w:w="1120" w:type="dxa"/>
            <w:vAlign w:val="bottom"/>
            <w:tcBorders>
              <w:bottom w:val="single" w:sz="8" w:color="2B4C9B"/>
            </w:tcBorders>
            <w:vMerge w:val="continue"/>
          </w:tcPr>
          <w:p>
            <w:pPr>
              <w:spacing w:after="0"/>
              <w:rPr>
                <w:sz w:val="18"/>
                <w:szCs w:val="18"/>
                <w:color w:val="auto"/>
              </w:rPr>
            </w:pPr>
          </w:p>
        </w:tc>
        <w:tc>
          <w:tcPr>
            <w:tcW w:w="340" w:type="dxa"/>
            <w:vAlign w:val="bottom"/>
            <w:tcBorders>
              <w:bottom w:val="single" w:sz="8" w:color="2B4C9B"/>
            </w:tcBorders>
          </w:tcPr>
          <w:p>
            <w:pPr>
              <w:spacing w:after="0"/>
              <w:rPr>
                <w:sz w:val="18"/>
                <w:szCs w:val="18"/>
                <w:color w:val="auto"/>
              </w:rPr>
            </w:pPr>
          </w:p>
        </w:tc>
        <w:tc>
          <w:tcPr>
            <w:tcW w:w="1080" w:type="dxa"/>
            <w:vAlign w:val="bottom"/>
            <w:tcBorders>
              <w:bottom w:val="single" w:sz="8" w:color="2B4C9B"/>
            </w:tcBorders>
          </w:tcPr>
          <w:p>
            <w:pPr>
              <w:jc w:val="right"/>
              <w:ind w:right="319"/>
              <w:spacing w:after="0"/>
              <w:rPr>
                <w:sz w:val="20"/>
                <w:szCs w:val="20"/>
                <w:color w:val="auto"/>
              </w:rPr>
            </w:pPr>
            <w:r>
              <w:rPr>
                <w:rFonts w:ascii="Arial" w:cs="Arial" w:eastAsia="Arial" w:hAnsi="Arial"/>
                <w:sz w:val="16"/>
                <w:szCs w:val="16"/>
                <w:b w:val="1"/>
                <w:bCs w:val="1"/>
                <w:color w:val="auto"/>
              </w:rPr>
              <w:t>Value</w:t>
            </w:r>
          </w:p>
        </w:tc>
        <w:tc>
          <w:tcPr>
            <w:tcW w:w="0" w:type="dxa"/>
            <w:vAlign w:val="bottom"/>
          </w:tcPr>
          <w:p>
            <w:pPr>
              <w:spacing w:after="0"/>
              <w:rPr>
                <w:sz w:val="1"/>
                <w:szCs w:val="1"/>
                <w:color w:val="auto"/>
              </w:rPr>
            </w:pPr>
          </w:p>
        </w:tc>
      </w:tr>
      <w:tr>
        <w:trPr>
          <w:trHeight w:val="223"/>
        </w:trPr>
        <w:tc>
          <w:tcPr>
            <w:tcW w:w="40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2540" w:type="dxa"/>
            <w:vAlign w:val="bottom"/>
            <w:gridSpan w:val="3"/>
          </w:tcPr>
          <w:p>
            <w:pPr>
              <w:jc w:val="center"/>
              <w:ind w:left="79"/>
              <w:spacing w:after="0"/>
              <w:rPr>
                <w:sz w:val="20"/>
                <w:szCs w:val="20"/>
                <w:color w:val="auto"/>
              </w:rPr>
            </w:pPr>
            <w:r>
              <w:rPr>
                <w:rFonts w:ascii="Arial" w:cs="Arial" w:eastAsia="Arial" w:hAnsi="Arial"/>
                <w:sz w:val="18"/>
                <w:szCs w:val="18"/>
                <w:color w:val="auto"/>
                <w:w w:val="99"/>
              </w:rPr>
              <w:t>(in thousands)</w:t>
            </w:r>
          </w:p>
        </w:tc>
        <w:tc>
          <w:tcPr>
            <w:tcW w:w="0" w:type="dxa"/>
            <w:vAlign w:val="bottom"/>
          </w:tcPr>
          <w:p>
            <w:pPr>
              <w:spacing w:after="0"/>
              <w:rPr>
                <w:sz w:val="1"/>
                <w:szCs w:val="1"/>
                <w:color w:val="auto"/>
              </w:rPr>
            </w:pPr>
          </w:p>
        </w:tc>
      </w:tr>
      <w:tr>
        <w:trPr>
          <w:trHeight w:val="216"/>
        </w:trPr>
        <w:tc>
          <w:tcPr>
            <w:tcW w:w="400" w:type="dxa"/>
            <w:vAlign w:val="bottom"/>
            <w:shd w:val="clear" w:color="auto" w:fill="CFF0FC"/>
          </w:tcPr>
          <w:p>
            <w:pPr>
              <w:jc w:val="right"/>
              <w:ind w:right="239"/>
              <w:spacing w:after="0"/>
              <w:rPr>
                <w:sz w:val="20"/>
                <w:szCs w:val="20"/>
                <w:color w:val="auto"/>
              </w:rPr>
            </w:pPr>
            <w:r>
              <w:rPr>
                <w:rFonts w:ascii="Arial" w:cs="Arial" w:eastAsia="Arial" w:hAnsi="Arial"/>
                <w:sz w:val="16"/>
                <w:szCs w:val="16"/>
                <w:color w:val="auto"/>
                <w:w w:val="95"/>
              </w:rPr>
              <w:t>*</w:t>
            </w:r>
          </w:p>
        </w:tc>
        <w:tc>
          <w:tcPr>
            <w:tcW w:w="5240" w:type="dxa"/>
            <w:vAlign w:val="bottom"/>
            <w:shd w:val="clear" w:color="auto" w:fill="CFF0FC"/>
          </w:tcPr>
          <w:p>
            <w:pPr>
              <w:ind w:left="60"/>
              <w:spacing w:after="0"/>
              <w:rPr>
                <w:sz w:val="20"/>
                <w:szCs w:val="20"/>
                <w:color w:val="auto"/>
              </w:rPr>
            </w:pPr>
            <w:r>
              <w:rPr>
                <w:rFonts w:ascii="Arial" w:cs="Arial" w:eastAsia="Arial" w:hAnsi="Arial"/>
                <w:sz w:val="16"/>
                <w:szCs w:val="16"/>
                <w:color w:val="auto"/>
              </w:rPr>
              <w:t>Science Applications International Corporation common stock</w:t>
            </w:r>
          </w:p>
        </w:tc>
        <w:tc>
          <w:tcPr>
            <w:tcW w:w="3060" w:type="dxa"/>
            <w:vAlign w:val="bottom"/>
            <w:shd w:val="clear" w:color="auto" w:fill="CFF0FC"/>
          </w:tcPr>
          <w:p>
            <w:pPr>
              <w:ind w:left="440"/>
              <w:spacing w:after="0"/>
              <w:rPr>
                <w:sz w:val="20"/>
                <w:szCs w:val="20"/>
                <w:color w:val="auto"/>
              </w:rPr>
            </w:pPr>
            <w:r>
              <w:rPr>
                <w:rFonts w:ascii="Arial" w:cs="Arial" w:eastAsia="Arial" w:hAnsi="Arial"/>
                <w:sz w:val="16"/>
                <w:szCs w:val="16"/>
                <w:color w:val="auto"/>
              </w:rPr>
              <w:t>Company Stock</w:t>
            </w:r>
          </w:p>
        </w:tc>
        <w:tc>
          <w:tcPr>
            <w:tcW w:w="112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6"/>
              </w:rPr>
              <w:t>**</w:t>
            </w:r>
          </w:p>
        </w:tc>
        <w:tc>
          <w:tcPr>
            <w:tcW w:w="340" w:type="dxa"/>
            <w:vAlign w:val="bottom"/>
            <w:shd w:val="clear" w:color="auto" w:fill="CFF0FC"/>
          </w:tcPr>
          <w:p>
            <w:pPr>
              <w:jc w:val="center"/>
              <w:ind w:left="5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89,951</w:t>
            </w:r>
          </w:p>
        </w:tc>
        <w:tc>
          <w:tcPr>
            <w:tcW w:w="0" w:type="dxa"/>
            <w:vAlign w:val="bottom"/>
          </w:tcPr>
          <w:p>
            <w:pPr>
              <w:spacing w:after="0"/>
              <w:rPr>
                <w:sz w:val="1"/>
                <w:szCs w:val="1"/>
                <w:color w:val="auto"/>
              </w:rPr>
            </w:pPr>
          </w:p>
        </w:tc>
      </w:tr>
      <w:tr>
        <w:trPr>
          <w:trHeight w:val="215"/>
        </w:trPr>
        <w:tc>
          <w:tcPr>
            <w:tcW w:w="400" w:type="dxa"/>
            <w:vAlign w:val="bottom"/>
          </w:tcPr>
          <w:p>
            <w:pPr>
              <w:spacing w:after="0"/>
              <w:rPr>
                <w:sz w:val="18"/>
                <w:szCs w:val="18"/>
                <w:color w:val="auto"/>
              </w:rPr>
            </w:pPr>
          </w:p>
        </w:tc>
        <w:tc>
          <w:tcPr>
            <w:tcW w:w="5240" w:type="dxa"/>
            <w:vAlign w:val="bottom"/>
          </w:tcPr>
          <w:p>
            <w:pPr>
              <w:ind w:left="60"/>
              <w:spacing w:after="0"/>
              <w:rPr>
                <w:sz w:val="20"/>
                <w:szCs w:val="20"/>
                <w:color w:val="auto"/>
              </w:rPr>
            </w:pPr>
            <w:r>
              <w:rPr>
                <w:rFonts w:ascii="Arial" w:cs="Arial" w:eastAsia="Arial" w:hAnsi="Arial"/>
                <w:sz w:val="16"/>
                <w:szCs w:val="16"/>
                <w:color w:val="auto"/>
              </w:rPr>
              <w:t>Dodge &amp; Cox Stock Fund Class X</w:t>
            </w:r>
          </w:p>
        </w:tc>
        <w:tc>
          <w:tcPr>
            <w:tcW w:w="3060" w:type="dxa"/>
            <w:vAlign w:val="bottom"/>
          </w:tcPr>
          <w:p>
            <w:pPr>
              <w:ind w:left="440"/>
              <w:spacing w:after="0"/>
              <w:rPr>
                <w:sz w:val="20"/>
                <w:szCs w:val="20"/>
                <w:color w:val="auto"/>
              </w:rPr>
            </w:pPr>
            <w:r>
              <w:rPr>
                <w:rFonts w:ascii="Arial" w:cs="Arial" w:eastAsia="Arial" w:hAnsi="Arial"/>
                <w:sz w:val="16"/>
                <w:szCs w:val="16"/>
                <w:color w:val="auto"/>
              </w:rPr>
              <w:t>Mutual Fund</w:t>
            </w:r>
          </w:p>
        </w:tc>
        <w:tc>
          <w:tcPr>
            <w:tcW w:w="1120" w:type="dxa"/>
            <w:vAlign w:val="bottom"/>
          </w:tcPr>
          <w:p>
            <w:pPr>
              <w:jc w:val="center"/>
              <w:spacing w:after="0"/>
              <w:rPr>
                <w:sz w:val="20"/>
                <w:szCs w:val="20"/>
                <w:color w:val="auto"/>
              </w:rPr>
            </w:pPr>
            <w:r>
              <w:rPr>
                <w:rFonts w:ascii="Arial" w:cs="Arial" w:eastAsia="Arial" w:hAnsi="Arial"/>
                <w:sz w:val="16"/>
                <w:szCs w:val="16"/>
                <w:color w:val="auto"/>
                <w:w w:val="96"/>
              </w:rPr>
              <w:t>**</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241,050</w:t>
            </w:r>
          </w:p>
        </w:tc>
        <w:tc>
          <w:tcPr>
            <w:tcW w:w="0" w:type="dxa"/>
            <w:vAlign w:val="bottom"/>
          </w:tcPr>
          <w:p>
            <w:pPr>
              <w:spacing w:after="0"/>
              <w:rPr>
                <w:sz w:val="1"/>
                <w:szCs w:val="1"/>
                <w:color w:val="auto"/>
              </w:rPr>
            </w:pPr>
          </w:p>
        </w:tc>
      </w:tr>
      <w:tr>
        <w:trPr>
          <w:trHeight w:val="217"/>
        </w:trPr>
        <w:tc>
          <w:tcPr>
            <w:tcW w:w="400" w:type="dxa"/>
            <w:vAlign w:val="bottom"/>
            <w:shd w:val="clear" w:color="auto" w:fill="CFF0FC"/>
          </w:tcPr>
          <w:p>
            <w:pPr>
              <w:spacing w:after="0"/>
              <w:rPr>
                <w:sz w:val="18"/>
                <w:szCs w:val="18"/>
                <w:color w:val="auto"/>
              </w:rPr>
            </w:pPr>
          </w:p>
        </w:tc>
        <w:tc>
          <w:tcPr>
            <w:tcW w:w="5240" w:type="dxa"/>
            <w:vAlign w:val="bottom"/>
            <w:shd w:val="clear" w:color="auto" w:fill="CFF0FC"/>
          </w:tcPr>
          <w:p>
            <w:pPr>
              <w:ind w:left="60"/>
              <w:spacing w:after="0"/>
              <w:rPr>
                <w:sz w:val="20"/>
                <w:szCs w:val="20"/>
                <w:color w:val="auto"/>
              </w:rPr>
            </w:pPr>
            <w:r>
              <w:rPr>
                <w:rFonts w:ascii="Arial" w:cs="Arial" w:eastAsia="Arial" w:hAnsi="Arial"/>
                <w:sz w:val="16"/>
                <w:szCs w:val="16"/>
                <w:color w:val="auto"/>
              </w:rPr>
              <w:t>T. Rowe Price Institutional Mid Cap Equity Growth Fund</w:t>
            </w:r>
          </w:p>
        </w:tc>
        <w:tc>
          <w:tcPr>
            <w:tcW w:w="3060" w:type="dxa"/>
            <w:vAlign w:val="bottom"/>
            <w:shd w:val="clear" w:color="auto" w:fill="CFF0FC"/>
          </w:tcPr>
          <w:p>
            <w:pPr>
              <w:ind w:left="440"/>
              <w:spacing w:after="0"/>
              <w:rPr>
                <w:sz w:val="20"/>
                <w:szCs w:val="20"/>
                <w:color w:val="auto"/>
              </w:rPr>
            </w:pPr>
            <w:r>
              <w:rPr>
                <w:rFonts w:ascii="Arial" w:cs="Arial" w:eastAsia="Arial" w:hAnsi="Arial"/>
                <w:sz w:val="16"/>
                <w:szCs w:val="16"/>
                <w:color w:val="auto"/>
              </w:rPr>
              <w:t>Mutual Fund</w:t>
            </w:r>
          </w:p>
        </w:tc>
        <w:tc>
          <w:tcPr>
            <w:tcW w:w="112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6"/>
              </w:rPr>
              <w:t>**</w:t>
            </w: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126,772</w:t>
            </w:r>
          </w:p>
        </w:tc>
        <w:tc>
          <w:tcPr>
            <w:tcW w:w="0" w:type="dxa"/>
            <w:vAlign w:val="bottom"/>
          </w:tcPr>
          <w:p>
            <w:pPr>
              <w:spacing w:after="0"/>
              <w:rPr>
                <w:sz w:val="1"/>
                <w:szCs w:val="1"/>
                <w:color w:val="auto"/>
              </w:rPr>
            </w:pPr>
          </w:p>
        </w:tc>
      </w:tr>
      <w:tr>
        <w:trPr>
          <w:trHeight w:val="215"/>
        </w:trPr>
        <w:tc>
          <w:tcPr>
            <w:tcW w:w="400" w:type="dxa"/>
            <w:vAlign w:val="bottom"/>
          </w:tcPr>
          <w:p>
            <w:pPr>
              <w:jc w:val="right"/>
              <w:ind w:right="239"/>
              <w:spacing w:after="0"/>
              <w:rPr>
                <w:sz w:val="20"/>
                <w:szCs w:val="20"/>
                <w:color w:val="auto"/>
              </w:rPr>
            </w:pPr>
            <w:r>
              <w:rPr>
                <w:rFonts w:ascii="Arial" w:cs="Arial" w:eastAsia="Arial" w:hAnsi="Arial"/>
                <w:sz w:val="16"/>
                <w:szCs w:val="16"/>
                <w:color w:val="auto"/>
                <w:w w:val="95"/>
              </w:rPr>
              <w:t>*</w:t>
            </w:r>
          </w:p>
        </w:tc>
        <w:tc>
          <w:tcPr>
            <w:tcW w:w="5240" w:type="dxa"/>
            <w:vAlign w:val="bottom"/>
          </w:tcPr>
          <w:p>
            <w:pPr>
              <w:ind w:left="60"/>
              <w:spacing w:after="0"/>
              <w:rPr>
                <w:sz w:val="20"/>
                <w:szCs w:val="20"/>
                <w:color w:val="auto"/>
              </w:rPr>
            </w:pPr>
            <w:r>
              <w:rPr>
                <w:rFonts w:ascii="Arial" w:cs="Arial" w:eastAsia="Arial" w:hAnsi="Arial"/>
                <w:sz w:val="16"/>
                <w:szCs w:val="16"/>
                <w:color w:val="auto"/>
              </w:rPr>
              <w:t>Vanguard FTSE All-World ex-US Index: Institutional Shares</w:t>
            </w:r>
          </w:p>
        </w:tc>
        <w:tc>
          <w:tcPr>
            <w:tcW w:w="3060" w:type="dxa"/>
            <w:vAlign w:val="bottom"/>
          </w:tcPr>
          <w:p>
            <w:pPr>
              <w:ind w:left="440"/>
              <w:spacing w:after="0"/>
              <w:rPr>
                <w:sz w:val="20"/>
                <w:szCs w:val="20"/>
                <w:color w:val="auto"/>
              </w:rPr>
            </w:pPr>
            <w:r>
              <w:rPr>
                <w:rFonts w:ascii="Arial" w:cs="Arial" w:eastAsia="Arial" w:hAnsi="Arial"/>
                <w:sz w:val="16"/>
                <w:szCs w:val="16"/>
                <w:color w:val="auto"/>
              </w:rPr>
              <w:t>Mutual Fund</w:t>
            </w:r>
          </w:p>
        </w:tc>
        <w:tc>
          <w:tcPr>
            <w:tcW w:w="1120" w:type="dxa"/>
            <w:vAlign w:val="bottom"/>
          </w:tcPr>
          <w:p>
            <w:pPr>
              <w:jc w:val="center"/>
              <w:spacing w:after="0"/>
              <w:rPr>
                <w:sz w:val="20"/>
                <w:szCs w:val="20"/>
                <w:color w:val="auto"/>
              </w:rPr>
            </w:pPr>
            <w:r>
              <w:rPr>
                <w:rFonts w:ascii="Arial" w:cs="Arial" w:eastAsia="Arial" w:hAnsi="Arial"/>
                <w:sz w:val="16"/>
                <w:szCs w:val="16"/>
                <w:color w:val="auto"/>
                <w:w w:val="96"/>
              </w:rPr>
              <w:t>**</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256,982</w:t>
            </w:r>
          </w:p>
        </w:tc>
        <w:tc>
          <w:tcPr>
            <w:tcW w:w="0" w:type="dxa"/>
            <w:vAlign w:val="bottom"/>
          </w:tcPr>
          <w:p>
            <w:pPr>
              <w:spacing w:after="0"/>
              <w:rPr>
                <w:sz w:val="1"/>
                <w:szCs w:val="1"/>
                <w:color w:val="auto"/>
              </w:rPr>
            </w:pPr>
          </w:p>
        </w:tc>
      </w:tr>
      <w:tr>
        <w:trPr>
          <w:trHeight w:val="217"/>
        </w:trPr>
        <w:tc>
          <w:tcPr>
            <w:tcW w:w="400" w:type="dxa"/>
            <w:vAlign w:val="bottom"/>
            <w:shd w:val="clear" w:color="auto" w:fill="CFF0FC"/>
          </w:tcPr>
          <w:p>
            <w:pPr>
              <w:jc w:val="right"/>
              <w:ind w:right="239"/>
              <w:spacing w:after="0"/>
              <w:rPr>
                <w:sz w:val="20"/>
                <w:szCs w:val="20"/>
                <w:color w:val="auto"/>
              </w:rPr>
            </w:pPr>
            <w:r>
              <w:rPr>
                <w:rFonts w:ascii="Arial" w:cs="Arial" w:eastAsia="Arial" w:hAnsi="Arial"/>
                <w:sz w:val="16"/>
                <w:szCs w:val="16"/>
                <w:color w:val="auto"/>
                <w:w w:val="95"/>
              </w:rPr>
              <w:t>*</w:t>
            </w:r>
          </w:p>
        </w:tc>
        <w:tc>
          <w:tcPr>
            <w:tcW w:w="5240" w:type="dxa"/>
            <w:vAlign w:val="bottom"/>
            <w:shd w:val="clear" w:color="auto" w:fill="CFF0FC"/>
          </w:tcPr>
          <w:p>
            <w:pPr>
              <w:ind w:left="60"/>
              <w:spacing w:after="0"/>
              <w:rPr>
                <w:sz w:val="20"/>
                <w:szCs w:val="20"/>
                <w:color w:val="auto"/>
              </w:rPr>
            </w:pPr>
            <w:r>
              <w:rPr>
                <w:rFonts w:ascii="Arial" w:cs="Arial" w:eastAsia="Arial" w:hAnsi="Arial"/>
                <w:sz w:val="16"/>
                <w:szCs w:val="16"/>
                <w:color w:val="auto"/>
              </w:rPr>
              <w:t>Vanguard Federal Money Market Fund</w:t>
            </w:r>
          </w:p>
        </w:tc>
        <w:tc>
          <w:tcPr>
            <w:tcW w:w="3060" w:type="dxa"/>
            <w:vAlign w:val="bottom"/>
            <w:shd w:val="clear" w:color="auto" w:fill="CFF0FC"/>
          </w:tcPr>
          <w:p>
            <w:pPr>
              <w:ind w:left="440"/>
              <w:spacing w:after="0"/>
              <w:rPr>
                <w:sz w:val="20"/>
                <w:szCs w:val="20"/>
                <w:color w:val="auto"/>
              </w:rPr>
            </w:pPr>
            <w:r>
              <w:rPr>
                <w:rFonts w:ascii="Arial" w:cs="Arial" w:eastAsia="Arial" w:hAnsi="Arial"/>
                <w:sz w:val="16"/>
                <w:szCs w:val="16"/>
                <w:color w:val="auto"/>
              </w:rPr>
              <w:t>Mutual Fund</w:t>
            </w:r>
          </w:p>
        </w:tc>
        <w:tc>
          <w:tcPr>
            <w:tcW w:w="112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6"/>
              </w:rPr>
              <w:t>**</w:t>
            </w: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260,353</w:t>
            </w:r>
          </w:p>
        </w:tc>
        <w:tc>
          <w:tcPr>
            <w:tcW w:w="0" w:type="dxa"/>
            <w:vAlign w:val="bottom"/>
          </w:tcPr>
          <w:p>
            <w:pPr>
              <w:spacing w:after="0"/>
              <w:rPr>
                <w:sz w:val="1"/>
                <w:szCs w:val="1"/>
                <w:color w:val="auto"/>
              </w:rPr>
            </w:pPr>
          </w:p>
        </w:tc>
      </w:tr>
      <w:tr>
        <w:trPr>
          <w:trHeight w:val="215"/>
        </w:trPr>
        <w:tc>
          <w:tcPr>
            <w:tcW w:w="400" w:type="dxa"/>
            <w:vAlign w:val="bottom"/>
          </w:tcPr>
          <w:p>
            <w:pPr>
              <w:jc w:val="right"/>
              <w:ind w:right="239"/>
              <w:spacing w:after="0"/>
              <w:rPr>
                <w:sz w:val="20"/>
                <w:szCs w:val="20"/>
                <w:color w:val="auto"/>
              </w:rPr>
            </w:pPr>
            <w:r>
              <w:rPr>
                <w:rFonts w:ascii="Arial" w:cs="Arial" w:eastAsia="Arial" w:hAnsi="Arial"/>
                <w:sz w:val="16"/>
                <w:szCs w:val="16"/>
                <w:color w:val="auto"/>
                <w:w w:val="95"/>
              </w:rPr>
              <w:t>*</w:t>
            </w:r>
          </w:p>
        </w:tc>
        <w:tc>
          <w:tcPr>
            <w:tcW w:w="5240" w:type="dxa"/>
            <w:vAlign w:val="bottom"/>
          </w:tcPr>
          <w:p>
            <w:pPr>
              <w:ind w:left="60"/>
              <w:spacing w:after="0"/>
              <w:rPr>
                <w:sz w:val="20"/>
                <w:szCs w:val="20"/>
                <w:color w:val="auto"/>
              </w:rPr>
            </w:pPr>
            <w:r>
              <w:rPr>
                <w:rFonts w:ascii="Arial" w:cs="Arial" w:eastAsia="Arial" w:hAnsi="Arial"/>
                <w:sz w:val="16"/>
                <w:szCs w:val="16"/>
                <w:color w:val="auto"/>
              </w:rPr>
              <w:t>Vanguard International Growth Fund Admiral Shares</w:t>
            </w:r>
          </w:p>
        </w:tc>
        <w:tc>
          <w:tcPr>
            <w:tcW w:w="3060" w:type="dxa"/>
            <w:vAlign w:val="bottom"/>
          </w:tcPr>
          <w:p>
            <w:pPr>
              <w:ind w:left="440"/>
              <w:spacing w:after="0"/>
              <w:rPr>
                <w:sz w:val="20"/>
                <w:szCs w:val="20"/>
                <w:color w:val="auto"/>
              </w:rPr>
            </w:pPr>
            <w:r>
              <w:rPr>
                <w:rFonts w:ascii="Arial" w:cs="Arial" w:eastAsia="Arial" w:hAnsi="Arial"/>
                <w:sz w:val="16"/>
                <w:szCs w:val="16"/>
                <w:color w:val="auto"/>
              </w:rPr>
              <w:t>Mutual Fund</w:t>
            </w:r>
          </w:p>
        </w:tc>
        <w:tc>
          <w:tcPr>
            <w:tcW w:w="1120" w:type="dxa"/>
            <w:vAlign w:val="bottom"/>
          </w:tcPr>
          <w:p>
            <w:pPr>
              <w:jc w:val="center"/>
              <w:spacing w:after="0"/>
              <w:rPr>
                <w:sz w:val="20"/>
                <w:szCs w:val="20"/>
                <w:color w:val="auto"/>
              </w:rPr>
            </w:pPr>
            <w:r>
              <w:rPr>
                <w:rFonts w:ascii="Arial" w:cs="Arial" w:eastAsia="Arial" w:hAnsi="Arial"/>
                <w:sz w:val="16"/>
                <w:szCs w:val="16"/>
                <w:color w:val="auto"/>
                <w:w w:val="96"/>
              </w:rPr>
              <w:t>**</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132,154</w:t>
            </w:r>
          </w:p>
        </w:tc>
        <w:tc>
          <w:tcPr>
            <w:tcW w:w="0" w:type="dxa"/>
            <w:vAlign w:val="bottom"/>
          </w:tcPr>
          <w:p>
            <w:pPr>
              <w:spacing w:after="0"/>
              <w:rPr>
                <w:sz w:val="1"/>
                <w:szCs w:val="1"/>
                <w:color w:val="auto"/>
              </w:rPr>
            </w:pPr>
          </w:p>
        </w:tc>
      </w:tr>
      <w:tr>
        <w:trPr>
          <w:trHeight w:val="217"/>
        </w:trPr>
        <w:tc>
          <w:tcPr>
            <w:tcW w:w="400" w:type="dxa"/>
            <w:vAlign w:val="bottom"/>
            <w:shd w:val="clear" w:color="auto" w:fill="CFF0FC"/>
          </w:tcPr>
          <w:p>
            <w:pPr>
              <w:jc w:val="right"/>
              <w:ind w:right="239"/>
              <w:spacing w:after="0"/>
              <w:rPr>
                <w:sz w:val="20"/>
                <w:szCs w:val="20"/>
                <w:color w:val="auto"/>
              </w:rPr>
            </w:pPr>
            <w:r>
              <w:rPr>
                <w:rFonts w:ascii="Arial" w:cs="Arial" w:eastAsia="Arial" w:hAnsi="Arial"/>
                <w:sz w:val="16"/>
                <w:szCs w:val="16"/>
                <w:color w:val="auto"/>
                <w:w w:val="95"/>
              </w:rPr>
              <w:t>*</w:t>
            </w:r>
          </w:p>
        </w:tc>
        <w:tc>
          <w:tcPr>
            <w:tcW w:w="5240" w:type="dxa"/>
            <w:vAlign w:val="bottom"/>
            <w:shd w:val="clear" w:color="auto" w:fill="CFF0FC"/>
          </w:tcPr>
          <w:p>
            <w:pPr>
              <w:ind w:left="60"/>
              <w:spacing w:after="0"/>
              <w:rPr>
                <w:sz w:val="20"/>
                <w:szCs w:val="20"/>
                <w:color w:val="auto"/>
              </w:rPr>
            </w:pPr>
            <w:r>
              <w:rPr>
                <w:rFonts w:ascii="Arial" w:cs="Arial" w:eastAsia="Arial" w:hAnsi="Arial"/>
                <w:sz w:val="16"/>
                <w:szCs w:val="16"/>
                <w:color w:val="auto"/>
              </w:rPr>
              <w:t>Vanguard PRIMECAP Fund Admiral Shares</w:t>
            </w:r>
          </w:p>
        </w:tc>
        <w:tc>
          <w:tcPr>
            <w:tcW w:w="3060" w:type="dxa"/>
            <w:vAlign w:val="bottom"/>
            <w:shd w:val="clear" w:color="auto" w:fill="CFF0FC"/>
          </w:tcPr>
          <w:p>
            <w:pPr>
              <w:ind w:left="440"/>
              <w:spacing w:after="0"/>
              <w:rPr>
                <w:sz w:val="20"/>
                <w:szCs w:val="20"/>
                <w:color w:val="auto"/>
              </w:rPr>
            </w:pPr>
            <w:r>
              <w:rPr>
                <w:rFonts w:ascii="Arial" w:cs="Arial" w:eastAsia="Arial" w:hAnsi="Arial"/>
                <w:sz w:val="16"/>
                <w:szCs w:val="16"/>
                <w:color w:val="auto"/>
              </w:rPr>
              <w:t>Mutual Fund</w:t>
            </w:r>
          </w:p>
        </w:tc>
        <w:tc>
          <w:tcPr>
            <w:tcW w:w="112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6"/>
              </w:rPr>
              <w:t>**</w:t>
            </w: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428,416</w:t>
            </w:r>
          </w:p>
        </w:tc>
        <w:tc>
          <w:tcPr>
            <w:tcW w:w="0" w:type="dxa"/>
            <w:vAlign w:val="bottom"/>
          </w:tcPr>
          <w:p>
            <w:pPr>
              <w:spacing w:after="0"/>
              <w:rPr>
                <w:sz w:val="1"/>
                <w:szCs w:val="1"/>
                <w:color w:val="auto"/>
              </w:rPr>
            </w:pPr>
          </w:p>
        </w:tc>
      </w:tr>
      <w:tr>
        <w:trPr>
          <w:trHeight w:val="215"/>
        </w:trPr>
        <w:tc>
          <w:tcPr>
            <w:tcW w:w="400" w:type="dxa"/>
            <w:vAlign w:val="bottom"/>
          </w:tcPr>
          <w:p>
            <w:pPr>
              <w:jc w:val="right"/>
              <w:ind w:right="239"/>
              <w:spacing w:after="0"/>
              <w:rPr>
                <w:sz w:val="20"/>
                <w:szCs w:val="20"/>
                <w:color w:val="auto"/>
              </w:rPr>
            </w:pPr>
            <w:r>
              <w:rPr>
                <w:rFonts w:ascii="Arial" w:cs="Arial" w:eastAsia="Arial" w:hAnsi="Arial"/>
                <w:sz w:val="16"/>
                <w:szCs w:val="16"/>
                <w:color w:val="auto"/>
                <w:w w:val="95"/>
              </w:rPr>
              <w:t>*</w:t>
            </w:r>
          </w:p>
        </w:tc>
        <w:tc>
          <w:tcPr>
            <w:tcW w:w="5240" w:type="dxa"/>
            <w:vAlign w:val="bottom"/>
          </w:tcPr>
          <w:p>
            <w:pPr>
              <w:ind w:left="60"/>
              <w:spacing w:after="0"/>
              <w:rPr>
                <w:sz w:val="20"/>
                <w:szCs w:val="20"/>
                <w:color w:val="auto"/>
              </w:rPr>
            </w:pPr>
            <w:r>
              <w:rPr>
                <w:rFonts w:ascii="Arial" w:cs="Arial" w:eastAsia="Arial" w:hAnsi="Arial"/>
                <w:sz w:val="16"/>
                <w:szCs w:val="16"/>
                <w:color w:val="auto"/>
              </w:rPr>
              <w:t>Vanguard Short-Term Bond Index Fund Institutional</w:t>
            </w:r>
          </w:p>
        </w:tc>
        <w:tc>
          <w:tcPr>
            <w:tcW w:w="3060" w:type="dxa"/>
            <w:vAlign w:val="bottom"/>
          </w:tcPr>
          <w:p>
            <w:pPr>
              <w:ind w:left="440"/>
              <w:spacing w:after="0"/>
              <w:rPr>
                <w:sz w:val="20"/>
                <w:szCs w:val="20"/>
                <w:color w:val="auto"/>
              </w:rPr>
            </w:pPr>
            <w:r>
              <w:rPr>
                <w:rFonts w:ascii="Arial" w:cs="Arial" w:eastAsia="Arial" w:hAnsi="Arial"/>
                <w:sz w:val="16"/>
                <w:szCs w:val="16"/>
                <w:color w:val="auto"/>
              </w:rPr>
              <w:t>Mutual Fund</w:t>
            </w:r>
          </w:p>
        </w:tc>
        <w:tc>
          <w:tcPr>
            <w:tcW w:w="1120" w:type="dxa"/>
            <w:vAlign w:val="bottom"/>
          </w:tcPr>
          <w:p>
            <w:pPr>
              <w:jc w:val="center"/>
              <w:spacing w:after="0"/>
              <w:rPr>
                <w:sz w:val="20"/>
                <w:szCs w:val="20"/>
                <w:color w:val="auto"/>
              </w:rPr>
            </w:pPr>
            <w:r>
              <w:rPr>
                <w:rFonts w:ascii="Arial" w:cs="Arial" w:eastAsia="Arial" w:hAnsi="Arial"/>
                <w:sz w:val="16"/>
                <w:szCs w:val="16"/>
                <w:color w:val="auto"/>
                <w:w w:val="96"/>
              </w:rPr>
              <w:t>**</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54,032</w:t>
            </w:r>
          </w:p>
        </w:tc>
        <w:tc>
          <w:tcPr>
            <w:tcW w:w="0" w:type="dxa"/>
            <w:vAlign w:val="bottom"/>
          </w:tcPr>
          <w:p>
            <w:pPr>
              <w:spacing w:after="0"/>
              <w:rPr>
                <w:sz w:val="1"/>
                <w:szCs w:val="1"/>
                <w:color w:val="auto"/>
              </w:rPr>
            </w:pPr>
          </w:p>
        </w:tc>
      </w:tr>
      <w:tr>
        <w:trPr>
          <w:trHeight w:val="217"/>
        </w:trPr>
        <w:tc>
          <w:tcPr>
            <w:tcW w:w="400" w:type="dxa"/>
            <w:vAlign w:val="bottom"/>
            <w:shd w:val="clear" w:color="auto" w:fill="CFF0FC"/>
          </w:tcPr>
          <w:p>
            <w:pPr>
              <w:spacing w:after="0"/>
              <w:rPr>
                <w:sz w:val="18"/>
                <w:szCs w:val="18"/>
                <w:color w:val="auto"/>
              </w:rPr>
            </w:pPr>
          </w:p>
        </w:tc>
        <w:tc>
          <w:tcPr>
            <w:tcW w:w="5240" w:type="dxa"/>
            <w:vAlign w:val="bottom"/>
            <w:shd w:val="clear" w:color="auto" w:fill="CFF0FC"/>
          </w:tcPr>
          <w:p>
            <w:pPr>
              <w:ind w:left="60"/>
              <w:spacing w:after="0"/>
              <w:rPr>
                <w:sz w:val="20"/>
                <w:szCs w:val="20"/>
                <w:color w:val="auto"/>
              </w:rPr>
            </w:pPr>
            <w:r>
              <w:rPr>
                <w:rFonts w:ascii="Arial" w:cs="Arial" w:eastAsia="Arial" w:hAnsi="Arial"/>
                <w:sz w:val="16"/>
                <w:szCs w:val="16"/>
                <w:color w:val="auto"/>
              </w:rPr>
              <w:t>Columbia Trust Emerging Markets Equity Fund; Founders Cl</w:t>
            </w:r>
          </w:p>
        </w:tc>
        <w:tc>
          <w:tcPr>
            <w:tcW w:w="3060" w:type="dxa"/>
            <w:vAlign w:val="bottom"/>
            <w:shd w:val="clear" w:color="auto" w:fill="CFF0FC"/>
          </w:tcPr>
          <w:p>
            <w:pPr>
              <w:ind w:left="440"/>
              <w:spacing w:after="0"/>
              <w:rPr>
                <w:sz w:val="20"/>
                <w:szCs w:val="20"/>
                <w:color w:val="auto"/>
              </w:rPr>
            </w:pPr>
            <w:r>
              <w:rPr>
                <w:rFonts w:ascii="Arial" w:cs="Arial" w:eastAsia="Arial" w:hAnsi="Arial"/>
                <w:sz w:val="16"/>
                <w:szCs w:val="16"/>
                <w:color w:val="auto"/>
              </w:rPr>
              <w:t>Collective Trust</w:t>
            </w:r>
          </w:p>
        </w:tc>
        <w:tc>
          <w:tcPr>
            <w:tcW w:w="112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6"/>
              </w:rPr>
              <w:t>**</w:t>
            </w: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42,187</w:t>
            </w:r>
          </w:p>
        </w:tc>
        <w:tc>
          <w:tcPr>
            <w:tcW w:w="0" w:type="dxa"/>
            <w:vAlign w:val="bottom"/>
          </w:tcPr>
          <w:p>
            <w:pPr>
              <w:spacing w:after="0"/>
              <w:rPr>
                <w:sz w:val="1"/>
                <w:szCs w:val="1"/>
                <w:color w:val="auto"/>
              </w:rPr>
            </w:pPr>
          </w:p>
        </w:tc>
      </w:tr>
      <w:tr>
        <w:trPr>
          <w:trHeight w:val="215"/>
        </w:trPr>
        <w:tc>
          <w:tcPr>
            <w:tcW w:w="400" w:type="dxa"/>
            <w:vAlign w:val="bottom"/>
          </w:tcPr>
          <w:p>
            <w:pPr>
              <w:spacing w:after="0"/>
              <w:rPr>
                <w:sz w:val="18"/>
                <w:szCs w:val="18"/>
                <w:color w:val="auto"/>
              </w:rPr>
            </w:pPr>
          </w:p>
        </w:tc>
        <w:tc>
          <w:tcPr>
            <w:tcW w:w="5240" w:type="dxa"/>
            <w:vAlign w:val="bottom"/>
          </w:tcPr>
          <w:p>
            <w:pPr>
              <w:ind w:left="60"/>
              <w:spacing w:after="0"/>
              <w:rPr>
                <w:sz w:val="20"/>
                <w:szCs w:val="20"/>
                <w:color w:val="auto"/>
              </w:rPr>
            </w:pPr>
            <w:r>
              <w:rPr>
                <w:rFonts w:ascii="Arial" w:cs="Arial" w:eastAsia="Arial" w:hAnsi="Arial"/>
                <w:sz w:val="16"/>
                <w:szCs w:val="16"/>
                <w:color w:val="auto"/>
              </w:rPr>
              <w:t>Loomis Sayles Core Plus Fixed Income Trust Class C</w:t>
            </w:r>
          </w:p>
        </w:tc>
        <w:tc>
          <w:tcPr>
            <w:tcW w:w="3060" w:type="dxa"/>
            <w:vAlign w:val="bottom"/>
          </w:tcPr>
          <w:p>
            <w:pPr>
              <w:ind w:left="440"/>
              <w:spacing w:after="0"/>
              <w:rPr>
                <w:sz w:val="20"/>
                <w:szCs w:val="20"/>
                <w:color w:val="auto"/>
              </w:rPr>
            </w:pPr>
            <w:r>
              <w:rPr>
                <w:rFonts w:ascii="Arial" w:cs="Arial" w:eastAsia="Arial" w:hAnsi="Arial"/>
                <w:sz w:val="16"/>
                <w:szCs w:val="16"/>
                <w:color w:val="auto"/>
              </w:rPr>
              <w:t>Collective Trust</w:t>
            </w:r>
          </w:p>
        </w:tc>
        <w:tc>
          <w:tcPr>
            <w:tcW w:w="1120" w:type="dxa"/>
            <w:vAlign w:val="bottom"/>
          </w:tcPr>
          <w:p>
            <w:pPr>
              <w:jc w:val="center"/>
              <w:spacing w:after="0"/>
              <w:rPr>
                <w:sz w:val="20"/>
                <w:szCs w:val="20"/>
                <w:color w:val="auto"/>
              </w:rPr>
            </w:pPr>
            <w:r>
              <w:rPr>
                <w:rFonts w:ascii="Arial" w:cs="Arial" w:eastAsia="Arial" w:hAnsi="Arial"/>
                <w:sz w:val="16"/>
                <w:szCs w:val="16"/>
                <w:color w:val="auto"/>
                <w:w w:val="96"/>
              </w:rPr>
              <w:t>**</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77,128</w:t>
            </w:r>
          </w:p>
        </w:tc>
        <w:tc>
          <w:tcPr>
            <w:tcW w:w="0" w:type="dxa"/>
            <w:vAlign w:val="bottom"/>
          </w:tcPr>
          <w:p>
            <w:pPr>
              <w:spacing w:after="0"/>
              <w:rPr>
                <w:sz w:val="1"/>
                <w:szCs w:val="1"/>
                <w:color w:val="auto"/>
              </w:rPr>
            </w:pPr>
          </w:p>
        </w:tc>
      </w:tr>
      <w:tr>
        <w:trPr>
          <w:trHeight w:val="217"/>
        </w:trPr>
        <w:tc>
          <w:tcPr>
            <w:tcW w:w="400" w:type="dxa"/>
            <w:vAlign w:val="bottom"/>
            <w:shd w:val="clear" w:color="auto" w:fill="CFF0FC"/>
          </w:tcPr>
          <w:p>
            <w:pPr>
              <w:spacing w:after="0"/>
              <w:rPr>
                <w:sz w:val="18"/>
                <w:szCs w:val="18"/>
                <w:color w:val="auto"/>
              </w:rPr>
            </w:pPr>
          </w:p>
        </w:tc>
        <w:tc>
          <w:tcPr>
            <w:tcW w:w="5240" w:type="dxa"/>
            <w:vAlign w:val="bottom"/>
            <w:shd w:val="clear" w:color="auto" w:fill="CFF0FC"/>
          </w:tcPr>
          <w:p>
            <w:pPr>
              <w:ind w:left="60"/>
              <w:spacing w:after="0"/>
              <w:rPr>
                <w:sz w:val="20"/>
                <w:szCs w:val="20"/>
                <w:color w:val="auto"/>
              </w:rPr>
            </w:pPr>
            <w:r>
              <w:rPr>
                <w:rFonts w:ascii="Arial" w:cs="Arial" w:eastAsia="Arial" w:hAnsi="Arial"/>
                <w:sz w:val="16"/>
                <w:szCs w:val="16"/>
                <w:color w:val="auto"/>
              </w:rPr>
              <w:t>T.Rowe Price Large Cap Growth Class L</w:t>
            </w:r>
          </w:p>
        </w:tc>
        <w:tc>
          <w:tcPr>
            <w:tcW w:w="3060" w:type="dxa"/>
            <w:vAlign w:val="bottom"/>
            <w:shd w:val="clear" w:color="auto" w:fill="CFF0FC"/>
          </w:tcPr>
          <w:p>
            <w:pPr>
              <w:ind w:left="440"/>
              <w:spacing w:after="0"/>
              <w:rPr>
                <w:sz w:val="20"/>
                <w:szCs w:val="20"/>
                <w:color w:val="auto"/>
              </w:rPr>
            </w:pPr>
            <w:r>
              <w:rPr>
                <w:rFonts w:ascii="Arial" w:cs="Arial" w:eastAsia="Arial" w:hAnsi="Arial"/>
                <w:sz w:val="16"/>
                <w:szCs w:val="16"/>
                <w:color w:val="auto"/>
              </w:rPr>
              <w:t>Collective Trust</w:t>
            </w:r>
          </w:p>
        </w:tc>
        <w:tc>
          <w:tcPr>
            <w:tcW w:w="112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6"/>
              </w:rPr>
              <w:t>**</w:t>
            </w: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37,783</w:t>
            </w:r>
          </w:p>
        </w:tc>
        <w:tc>
          <w:tcPr>
            <w:tcW w:w="0" w:type="dxa"/>
            <w:vAlign w:val="bottom"/>
          </w:tcPr>
          <w:p>
            <w:pPr>
              <w:spacing w:after="0"/>
              <w:rPr>
                <w:sz w:val="1"/>
                <w:szCs w:val="1"/>
                <w:color w:val="auto"/>
              </w:rPr>
            </w:pPr>
          </w:p>
        </w:tc>
      </w:tr>
      <w:tr>
        <w:trPr>
          <w:trHeight w:val="215"/>
        </w:trPr>
        <w:tc>
          <w:tcPr>
            <w:tcW w:w="400" w:type="dxa"/>
            <w:vAlign w:val="bottom"/>
          </w:tcPr>
          <w:p>
            <w:pPr>
              <w:spacing w:after="0"/>
              <w:rPr>
                <w:sz w:val="18"/>
                <w:szCs w:val="18"/>
                <w:color w:val="auto"/>
              </w:rPr>
            </w:pPr>
          </w:p>
        </w:tc>
        <w:tc>
          <w:tcPr>
            <w:tcW w:w="5240" w:type="dxa"/>
            <w:vAlign w:val="bottom"/>
          </w:tcPr>
          <w:p>
            <w:pPr>
              <w:ind w:left="60"/>
              <w:spacing w:after="0"/>
              <w:rPr>
                <w:sz w:val="20"/>
                <w:szCs w:val="20"/>
                <w:color w:val="auto"/>
              </w:rPr>
            </w:pPr>
            <w:r>
              <w:rPr>
                <w:rFonts w:ascii="Arial" w:cs="Arial" w:eastAsia="Arial" w:hAnsi="Arial"/>
                <w:sz w:val="16"/>
                <w:szCs w:val="16"/>
                <w:color w:val="auto"/>
              </w:rPr>
              <w:t>T. Rowe Price U.S. Mid Cap-Value Equity Trust; D Class</w:t>
            </w:r>
          </w:p>
        </w:tc>
        <w:tc>
          <w:tcPr>
            <w:tcW w:w="3060" w:type="dxa"/>
            <w:vAlign w:val="bottom"/>
          </w:tcPr>
          <w:p>
            <w:pPr>
              <w:ind w:left="440"/>
              <w:spacing w:after="0"/>
              <w:rPr>
                <w:sz w:val="20"/>
                <w:szCs w:val="20"/>
                <w:color w:val="auto"/>
              </w:rPr>
            </w:pPr>
            <w:r>
              <w:rPr>
                <w:rFonts w:ascii="Arial" w:cs="Arial" w:eastAsia="Arial" w:hAnsi="Arial"/>
                <w:sz w:val="16"/>
                <w:szCs w:val="16"/>
                <w:color w:val="auto"/>
              </w:rPr>
              <w:t>Collective Trust</w:t>
            </w:r>
          </w:p>
        </w:tc>
        <w:tc>
          <w:tcPr>
            <w:tcW w:w="1120" w:type="dxa"/>
            <w:vAlign w:val="bottom"/>
          </w:tcPr>
          <w:p>
            <w:pPr>
              <w:jc w:val="center"/>
              <w:spacing w:after="0"/>
              <w:rPr>
                <w:sz w:val="20"/>
                <w:szCs w:val="20"/>
                <w:color w:val="auto"/>
              </w:rPr>
            </w:pPr>
            <w:r>
              <w:rPr>
                <w:rFonts w:ascii="Arial" w:cs="Arial" w:eastAsia="Arial" w:hAnsi="Arial"/>
                <w:sz w:val="16"/>
                <w:szCs w:val="16"/>
                <w:color w:val="auto"/>
                <w:w w:val="96"/>
              </w:rPr>
              <w:t>**</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56,812</w:t>
            </w:r>
          </w:p>
        </w:tc>
        <w:tc>
          <w:tcPr>
            <w:tcW w:w="0" w:type="dxa"/>
            <w:vAlign w:val="bottom"/>
          </w:tcPr>
          <w:p>
            <w:pPr>
              <w:spacing w:after="0"/>
              <w:rPr>
                <w:sz w:val="1"/>
                <w:szCs w:val="1"/>
                <w:color w:val="auto"/>
              </w:rPr>
            </w:pPr>
          </w:p>
        </w:tc>
      </w:tr>
      <w:tr>
        <w:trPr>
          <w:trHeight w:val="217"/>
        </w:trPr>
        <w:tc>
          <w:tcPr>
            <w:tcW w:w="4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95"/>
              </w:rPr>
              <w:t>*</w:t>
            </w:r>
          </w:p>
        </w:tc>
        <w:tc>
          <w:tcPr>
            <w:tcW w:w="5240" w:type="dxa"/>
            <w:vAlign w:val="bottom"/>
            <w:shd w:val="clear" w:color="auto" w:fill="CCEEFF"/>
          </w:tcPr>
          <w:p>
            <w:pPr>
              <w:ind w:left="60"/>
              <w:spacing w:after="0"/>
              <w:rPr>
                <w:sz w:val="20"/>
                <w:szCs w:val="20"/>
                <w:color w:val="auto"/>
              </w:rPr>
            </w:pPr>
            <w:r>
              <w:rPr>
                <w:rFonts w:ascii="Arial" w:cs="Arial" w:eastAsia="Arial" w:hAnsi="Arial"/>
                <w:sz w:val="16"/>
                <w:szCs w:val="16"/>
                <w:color w:val="auto"/>
              </w:rPr>
              <w:t>Vanguard Institutional 500 Index Trust</w:t>
            </w:r>
          </w:p>
        </w:tc>
        <w:tc>
          <w:tcPr>
            <w:tcW w:w="3060" w:type="dxa"/>
            <w:vAlign w:val="bottom"/>
            <w:shd w:val="clear" w:color="auto" w:fill="CCEEFF"/>
          </w:tcPr>
          <w:p>
            <w:pPr>
              <w:ind w:left="440"/>
              <w:spacing w:after="0"/>
              <w:rPr>
                <w:sz w:val="20"/>
                <w:szCs w:val="20"/>
                <w:color w:val="auto"/>
              </w:rPr>
            </w:pPr>
            <w:r>
              <w:rPr>
                <w:rFonts w:ascii="Arial" w:cs="Arial" w:eastAsia="Arial" w:hAnsi="Arial"/>
                <w:sz w:val="16"/>
                <w:szCs w:val="16"/>
                <w:color w:val="auto"/>
              </w:rPr>
              <w:t>Collective Trust</w:t>
            </w:r>
          </w:p>
        </w:tc>
        <w:tc>
          <w:tcPr>
            <w:tcW w:w="11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1,031,057</w:t>
            </w:r>
          </w:p>
        </w:tc>
        <w:tc>
          <w:tcPr>
            <w:tcW w:w="0" w:type="dxa"/>
            <w:vAlign w:val="bottom"/>
          </w:tcPr>
          <w:p>
            <w:pPr>
              <w:spacing w:after="0"/>
              <w:rPr>
                <w:sz w:val="1"/>
                <w:szCs w:val="1"/>
                <w:color w:val="auto"/>
              </w:rPr>
            </w:pPr>
          </w:p>
        </w:tc>
      </w:tr>
      <w:tr>
        <w:trPr>
          <w:trHeight w:val="215"/>
        </w:trPr>
        <w:tc>
          <w:tcPr>
            <w:tcW w:w="400" w:type="dxa"/>
            <w:vAlign w:val="bottom"/>
          </w:tcPr>
          <w:p>
            <w:pPr>
              <w:jc w:val="right"/>
              <w:ind w:right="239"/>
              <w:spacing w:after="0"/>
              <w:rPr>
                <w:sz w:val="20"/>
                <w:szCs w:val="20"/>
                <w:color w:val="auto"/>
              </w:rPr>
            </w:pPr>
            <w:r>
              <w:rPr>
                <w:rFonts w:ascii="Arial" w:cs="Arial" w:eastAsia="Arial" w:hAnsi="Arial"/>
                <w:sz w:val="16"/>
                <w:szCs w:val="16"/>
                <w:color w:val="auto"/>
                <w:w w:val="95"/>
              </w:rPr>
              <w:t>*</w:t>
            </w:r>
          </w:p>
        </w:tc>
        <w:tc>
          <w:tcPr>
            <w:tcW w:w="5240" w:type="dxa"/>
            <w:vAlign w:val="bottom"/>
          </w:tcPr>
          <w:p>
            <w:pPr>
              <w:ind w:left="60"/>
              <w:spacing w:after="0"/>
              <w:rPr>
                <w:sz w:val="20"/>
                <w:szCs w:val="20"/>
                <w:color w:val="auto"/>
              </w:rPr>
            </w:pPr>
            <w:r>
              <w:rPr>
                <w:rFonts w:ascii="Arial" w:cs="Arial" w:eastAsia="Arial" w:hAnsi="Arial"/>
                <w:sz w:val="16"/>
                <w:szCs w:val="16"/>
                <w:color w:val="auto"/>
              </w:rPr>
              <w:t>Vanguard Institutional Extended Market Index Trust</w:t>
            </w:r>
          </w:p>
        </w:tc>
        <w:tc>
          <w:tcPr>
            <w:tcW w:w="3060" w:type="dxa"/>
            <w:vAlign w:val="bottom"/>
          </w:tcPr>
          <w:p>
            <w:pPr>
              <w:ind w:left="440"/>
              <w:spacing w:after="0"/>
              <w:rPr>
                <w:sz w:val="20"/>
                <w:szCs w:val="20"/>
                <w:color w:val="auto"/>
              </w:rPr>
            </w:pPr>
            <w:r>
              <w:rPr>
                <w:rFonts w:ascii="Arial" w:cs="Arial" w:eastAsia="Arial" w:hAnsi="Arial"/>
                <w:sz w:val="16"/>
                <w:szCs w:val="16"/>
                <w:color w:val="auto"/>
              </w:rPr>
              <w:t>Collective Trust</w:t>
            </w:r>
          </w:p>
        </w:tc>
        <w:tc>
          <w:tcPr>
            <w:tcW w:w="1120" w:type="dxa"/>
            <w:vAlign w:val="bottom"/>
          </w:tcPr>
          <w:p>
            <w:pPr>
              <w:jc w:val="center"/>
              <w:spacing w:after="0"/>
              <w:rPr>
                <w:sz w:val="20"/>
                <w:szCs w:val="20"/>
                <w:color w:val="auto"/>
              </w:rPr>
            </w:pPr>
            <w:r>
              <w:rPr>
                <w:rFonts w:ascii="Arial" w:cs="Arial" w:eastAsia="Arial" w:hAnsi="Arial"/>
                <w:sz w:val="16"/>
                <w:szCs w:val="16"/>
                <w:color w:val="auto"/>
                <w:w w:val="96"/>
              </w:rPr>
              <w:t>**</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255,562</w:t>
            </w:r>
          </w:p>
        </w:tc>
        <w:tc>
          <w:tcPr>
            <w:tcW w:w="0" w:type="dxa"/>
            <w:vAlign w:val="bottom"/>
          </w:tcPr>
          <w:p>
            <w:pPr>
              <w:spacing w:after="0"/>
              <w:rPr>
                <w:sz w:val="1"/>
                <w:szCs w:val="1"/>
                <w:color w:val="auto"/>
              </w:rPr>
            </w:pPr>
          </w:p>
        </w:tc>
      </w:tr>
      <w:tr>
        <w:trPr>
          <w:trHeight w:val="217"/>
        </w:trPr>
        <w:tc>
          <w:tcPr>
            <w:tcW w:w="4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95"/>
              </w:rPr>
              <w:t>*</w:t>
            </w:r>
          </w:p>
        </w:tc>
        <w:tc>
          <w:tcPr>
            <w:tcW w:w="5240" w:type="dxa"/>
            <w:vAlign w:val="bottom"/>
            <w:shd w:val="clear" w:color="auto" w:fill="CCEEFF"/>
          </w:tcPr>
          <w:p>
            <w:pPr>
              <w:ind w:left="60"/>
              <w:spacing w:after="0"/>
              <w:rPr>
                <w:sz w:val="20"/>
                <w:szCs w:val="20"/>
                <w:color w:val="auto"/>
              </w:rPr>
            </w:pPr>
            <w:r>
              <w:rPr>
                <w:rFonts w:ascii="Arial" w:cs="Arial" w:eastAsia="Arial" w:hAnsi="Arial"/>
                <w:sz w:val="16"/>
                <w:szCs w:val="16"/>
                <w:color w:val="auto"/>
              </w:rPr>
              <w:t>Vanguard Institutional Total Bond Market Index Trust</w:t>
            </w:r>
          </w:p>
        </w:tc>
        <w:tc>
          <w:tcPr>
            <w:tcW w:w="3060" w:type="dxa"/>
            <w:vAlign w:val="bottom"/>
            <w:shd w:val="clear" w:color="auto" w:fill="CCEEFF"/>
          </w:tcPr>
          <w:p>
            <w:pPr>
              <w:ind w:left="440"/>
              <w:spacing w:after="0"/>
              <w:rPr>
                <w:sz w:val="20"/>
                <w:szCs w:val="20"/>
                <w:color w:val="auto"/>
              </w:rPr>
            </w:pPr>
            <w:r>
              <w:rPr>
                <w:rFonts w:ascii="Arial" w:cs="Arial" w:eastAsia="Arial" w:hAnsi="Arial"/>
                <w:sz w:val="16"/>
                <w:szCs w:val="16"/>
                <w:color w:val="auto"/>
              </w:rPr>
              <w:t>Collective Trust</w:t>
            </w:r>
          </w:p>
        </w:tc>
        <w:tc>
          <w:tcPr>
            <w:tcW w:w="11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257,537</w:t>
            </w:r>
          </w:p>
        </w:tc>
        <w:tc>
          <w:tcPr>
            <w:tcW w:w="0" w:type="dxa"/>
            <w:vAlign w:val="bottom"/>
          </w:tcPr>
          <w:p>
            <w:pPr>
              <w:spacing w:after="0"/>
              <w:rPr>
                <w:sz w:val="1"/>
                <w:szCs w:val="1"/>
                <w:color w:val="auto"/>
              </w:rPr>
            </w:pPr>
          </w:p>
        </w:tc>
      </w:tr>
      <w:tr>
        <w:trPr>
          <w:trHeight w:val="215"/>
        </w:trPr>
        <w:tc>
          <w:tcPr>
            <w:tcW w:w="400" w:type="dxa"/>
            <w:vAlign w:val="bottom"/>
          </w:tcPr>
          <w:p>
            <w:pPr>
              <w:jc w:val="right"/>
              <w:ind w:right="239"/>
              <w:spacing w:after="0"/>
              <w:rPr>
                <w:sz w:val="20"/>
                <w:szCs w:val="20"/>
                <w:color w:val="auto"/>
              </w:rPr>
            </w:pPr>
            <w:r>
              <w:rPr>
                <w:rFonts w:ascii="Arial" w:cs="Arial" w:eastAsia="Arial" w:hAnsi="Arial"/>
                <w:sz w:val="16"/>
                <w:szCs w:val="16"/>
                <w:color w:val="auto"/>
                <w:w w:val="95"/>
              </w:rPr>
              <w:t>*</w:t>
            </w:r>
          </w:p>
        </w:tc>
        <w:tc>
          <w:tcPr>
            <w:tcW w:w="5240" w:type="dxa"/>
            <w:vAlign w:val="bottom"/>
          </w:tcPr>
          <w:p>
            <w:pPr>
              <w:ind w:left="60"/>
              <w:spacing w:after="0"/>
              <w:rPr>
                <w:sz w:val="20"/>
                <w:szCs w:val="20"/>
                <w:color w:val="auto"/>
              </w:rPr>
            </w:pPr>
            <w:r>
              <w:rPr>
                <w:rFonts w:ascii="Arial" w:cs="Arial" w:eastAsia="Arial" w:hAnsi="Arial"/>
                <w:sz w:val="16"/>
                <w:szCs w:val="16"/>
                <w:color w:val="auto"/>
              </w:rPr>
              <w:t>Vanguard Target Retirement 2020 Trust Plus</w:t>
            </w:r>
          </w:p>
        </w:tc>
        <w:tc>
          <w:tcPr>
            <w:tcW w:w="3060" w:type="dxa"/>
            <w:vAlign w:val="bottom"/>
          </w:tcPr>
          <w:p>
            <w:pPr>
              <w:ind w:left="440"/>
              <w:spacing w:after="0"/>
              <w:rPr>
                <w:sz w:val="20"/>
                <w:szCs w:val="20"/>
                <w:color w:val="auto"/>
              </w:rPr>
            </w:pPr>
            <w:r>
              <w:rPr>
                <w:rFonts w:ascii="Arial" w:cs="Arial" w:eastAsia="Arial" w:hAnsi="Arial"/>
                <w:sz w:val="16"/>
                <w:szCs w:val="16"/>
                <w:color w:val="auto"/>
              </w:rPr>
              <w:t>Collective Trust</w:t>
            </w:r>
          </w:p>
        </w:tc>
        <w:tc>
          <w:tcPr>
            <w:tcW w:w="1120" w:type="dxa"/>
            <w:vAlign w:val="bottom"/>
          </w:tcPr>
          <w:p>
            <w:pPr>
              <w:jc w:val="center"/>
              <w:spacing w:after="0"/>
              <w:rPr>
                <w:sz w:val="20"/>
                <w:szCs w:val="20"/>
                <w:color w:val="auto"/>
              </w:rPr>
            </w:pPr>
            <w:r>
              <w:rPr>
                <w:rFonts w:ascii="Arial" w:cs="Arial" w:eastAsia="Arial" w:hAnsi="Arial"/>
                <w:sz w:val="16"/>
                <w:szCs w:val="16"/>
                <w:color w:val="auto"/>
                <w:w w:val="96"/>
              </w:rPr>
              <w:t>**</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154,351</w:t>
            </w:r>
          </w:p>
        </w:tc>
        <w:tc>
          <w:tcPr>
            <w:tcW w:w="0" w:type="dxa"/>
            <w:vAlign w:val="bottom"/>
          </w:tcPr>
          <w:p>
            <w:pPr>
              <w:spacing w:after="0"/>
              <w:rPr>
                <w:sz w:val="1"/>
                <w:szCs w:val="1"/>
                <w:color w:val="auto"/>
              </w:rPr>
            </w:pPr>
          </w:p>
        </w:tc>
      </w:tr>
      <w:tr>
        <w:trPr>
          <w:trHeight w:val="217"/>
        </w:trPr>
        <w:tc>
          <w:tcPr>
            <w:tcW w:w="4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95"/>
              </w:rPr>
              <w:t>*</w:t>
            </w:r>
          </w:p>
        </w:tc>
        <w:tc>
          <w:tcPr>
            <w:tcW w:w="5240" w:type="dxa"/>
            <w:vAlign w:val="bottom"/>
            <w:shd w:val="clear" w:color="auto" w:fill="CCEEFF"/>
          </w:tcPr>
          <w:p>
            <w:pPr>
              <w:ind w:left="60"/>
              <w:spacing w:after="0"/>
              <w:rPr>
                <w:sz w:val="20"/>
                <w:szCs w:val="20"/>
                <w:color w:val="auto"/>
              </w:rPr>
            </w:pPr>
            <w:r>
              <w:rPr>
                <w:rFonts w:ascii="Arial" w:cs="Arial" w:eastAsia="Arial" w:hAnsi="Arial"/>
                <w:sz w:val="16"/>
                <w:szCs w:val="16"/>
                <w:color w:val="auto"/>
              </w:rPr>
              <w:t>Vanguard Target Retirement 2025 Trust Plus</w:t>
            </w:r>
          </w:p>
        </w:tc>
        <w:tc>
          <w:tcPr>
            <w:tcW w:w="3060" w:type="dxa"/>
            <w:vAlign w:val="bottom"/>
            <w:shd w:val="clear" w:color="auto" w:fill="CCEEFF"/>
          </w:tcPr>
          <w:p>
            <w:pPr>
              <w:ind w:left="440"/>
              <w:spacing w:after="0"/>
              <w:rPr>
                <w:sz w:val="20"/>
                <w:szCs w:val="20"/>
                <w:color w:val="auto"/>
              </w:rPr>
            </w:pPr>
            <w:r>
              <w:rPr>
                <w:rFonts w:ascii="Arial" w:cs="Arial" w:eastAsia="Arial" w:hAnsi="Arial"/>
                <w:sz w:val="16"/>
                <w:szCs w:val="16"/>
                <w:color w:val="auto"/>
              </w:rPr>
              <w:t>Collective Trust</w:t>
            </w:r>
          </w:p>
        </w:tc>
        <w:tc>
          <w:tcPr>
            <w:tcW w:w="11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312,510</w:t>
            </w:r>
          </w:p>
        </w:tc>
        <w:tc>
          <w:tcPr>
            <w:tcW w:w="0" w:type="dxa"/>
            <w:vAlign w:val="bottom"/>
          </w:tcPr>
          <w:p>
            <w:pPr>
              <w:spacing w:after="0"/>
              <w:rPr>
                <w:sz w:val="1"/>
                <w:szCs w:val="1"/>
                <w:color w:val="auto"/>
              </w:rPr>
            </w:pPr>
          </w:p>
        </w:tc>
      </w:tr>
      <w:tr>
        <w:trPr>
          <w:trHeight w:val="215"/>
        </w:trPr>
        <w:tc>
          <w:tcPr>
            <w:tcW w:w="400" w:type="dxa"/>
            <w:vAlign w:val="bottom"/>
          </w:tcPr>
          <w:p>
            <w:pPr>
              <w:jc w:val="right"/>
              <w:ind w:right="239"/>
              <w:spacing w:after="0"/>
              <w:rPr>
                <w:sz w:val="20"/>
                <w:szCs w:val="20"/>
                <w:color w:val="auto"/>
              </w:rPr>
            </w:pPr>
            <w:r>
              <w:rPr>
                <w:rFonts w:ascii="Arial" w:cs="Arial" w:eastAsia="Arial" w:hAnsi="Arial"/>
                <w:sz w:val="16"/>
                <w:szCs w:val="16"/>
                <w:color w:val="auto"/>
                <w:w w:val="95"/>
              </w:rPr>
              <w:t>*</w:t>
            </w:r>
          </w:p>
        </w:tc>
        <w:tc>
          <w:tcPr>
            <w:tcW w:w="5240" w:type="dxa"/>
            <w:vAlign w:val="bottom"/>
          </w:tcPr>
          <w:p>
            <w:pPr>
              <w:ind w:left="60"/>
              <w:spacing w:after="0"/>
              <w:rPr>
                <w:sz w:val="20"/>
                <w:szCs w:val="20"/>
                <w:color w:val="auto"/>
              </w:rPr>
            </w:pPr>
            <w:r>
              <w:rPr>
                <w:rFonts w:ascii="Arial" w:cs="Arial" w:eastAsia="Arial" w:hAnsi="Arial"/>
                <w:sz w:val="16"/>
                <w:szCs w:val="16"/>
                <w:color w:val="auto"/>
              </w:rPr>
              <w:t>Vanguard Target Retirement 2030 Trust Plus</w:t>
            </w:r>
          </w:p>
        </w:tc>
        <w:tc>
          <w:tcPr>
            <w:tcW w:w="3060" w:type="dxa"/>
            <w:vAlign w:val="bottom"/>
          </w:tcPr>
          <w:p>
            <w:pPr>
              <w:ind w:left="440"/>
              <w:spacing w:after="0"/>
              <w:rPr>
                <w:sz w:val="20"/>
                <w:szCs w:val="20"/>
                <w:color w:val="auto"/>
              </w:rPr>
            </w:pPr>
            <w:r>
              <w:rPr>
                <w:rFonts w:ascii="Arial" w:cs="Arial" w:eastAsia="Arial" w:hAnsi="Arial"/>
                <w:sz w:val="16"/>
                <w:szCs w:val="16"/>
                <w:color w:val="auto"/>
              </w:rPr>
              <w:t>Collective Trust</w:t>
            </w:r>
          </w:p>
        </w:tc>
        <w:tc>
          <w:tcPr>
            <w:tcW w:w="1120" w:type="dxa"/>
            <w:vAlign w:val="bottom"/>
          </w:tcPr>
          <w:p>
            <w:pPr>
              <w:jc w:val="center"/>
              <w:spacing w:after="0"/>
              <w:rPr>
                <w:sz w:val="20"/>
                <w:szCs w:val="20"/>
                <w:color w:val="auto"/>
              </w:rPr>
            </w:pPr>
            <w:r>
              <w:rPr>
                <w:rFonts w:ascii="Arial" w:cs="Arial" w:eastAsia="Arial" w:hAnsi="Arial"/>
                <w:sz w:val="16"/>
                <w:szCs w:val="16"/>
                <w:color w:val="auto"/>
                <w:w w:val="96"/>
              </w:rPr>
              <w:t>**</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437,338</w:t>
            </w:r>
          </w:p>
        </w:tc>
        <w:tc>
          <w:tcPr>
            <w:tcW w:w="0" w:type="dxa"/>
            <w:vAlign w:val="bottom"/>
          </w:tcPr>
          <w:p>
            <w:pPr>
              <w:spacing w:after="0"/>
              <w:rPr>
                <w:sz w:val="1"/>
                <w:szCs w:val="1"/>
                <w:color w:val="auto"/>
              </w:rPr>
            </w:pPr>
          </w:p>
        </w:tc>
      </w:tr>
      <w:tr>
        <w:trPr>
          <w:trHeight w:val="217"/>
        </w:trPr>
        <w:tc>
          <w:tcPr>
            <w:tcW w:w="4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95"/>
              </w:rPr>
              <w:t>*</w:t>
            </w:r>
          </w:p>
        </w:tc>
        <w:tc>
          <w:tcPr>
            <w:tcW w:w="5240" w:type="dxa"/>
            <w:vAlign w:val="bottom"/>
            <w:shd w:val="clear" w:color="auto" w:fill="CCEEFF"/>
          </w:tcPr>
          <w:p>
            <w:pPr>
              <w:ind w:left="60"/>
              <w:spacing w:after="0"/>
              <w:rPr>
                <w:sz w:val="20"/>
                <w:szCs w:val="20"/>
                <w:color w:val="auto"/>
              </w:rPr>
            </w:pPr>
            <w:r>
              <w:rPr>
                <w:rFonts w:ascii="Arial" w:cs="Arial" w:eastAsia="Arial" w:hAnsi="Arial"/>
                <w:sz w:val="16"/>
                <w:szCs w:val="16"/>
                <w:color w:val="auto"/>
              </w:rPr>
              <w:t>Vanguard Target Retirement 2035 Trust Plus</w:t>
            </w:r>
          </w:p>
        </w:tc>
        <w:tc>
          <w:tcPr>
            <w:tcW w:w="3060" w:type="dxa"/>
            <w:vAlign w:val="bottom"/>
            <w:shd w:val="clear" w:color="auto" w:fill="CCEEFF"/>
          </w:tcPr>
          <w:p>
            <w:pPr>
              <w:ind w:left="440"/>
              <w:spacing w:after="0"/>
              <w:rPr>
                <w:sz w:val="20"/>
                <w:szCs w:val="20"/>
                <w:color w:val="auto"/>
              </w:rPr>
            </w:pPr>
            <w:r>
              <w:rPr>
                <w:rFonts w:ascii="Arial" w:cs="Arial" w:eastAsia="Arial" w:hAnsi="Arial"/>
                <w:sz w:val="16"/>
                <w:szCs w:val="16"/>
                <w:color w:val="auto"/>
              </w:rPr>
              <w:t>Collective Trust</w:t>
            </w:r>
          </w:p>
        </w:tc>
        <w:tc>
          <w:tcPr>
            <w:tcW w:w="11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340,629</w:t>
            </w:r>
          </w:p>
        </w:tc>
        <w:tc>
          <w:tcPr>
            <w:tcW w:w="0" w:type="dxa"/>
            <w:vAlign w:val="bottom"/>
          </w:tcPr>
          <w:p>
            <w:pPr>
              <w:spacing w:after="0"/>
              <w:rPr>
                <w:sz w:val="1"/>
                <w:szCs w:val="1"/>
                <w:color w:val="auto"/>
              </w:rPr>
            </w:pPr>
          </w:p>
        </w:tc>
      </w:tr>
      <w:tr>
        <w:trPr>
          <w:trHeight w:val="215"/>
        </w:trPr>
        <w:tc>
          <w:tcPr>
            <w:tcW w:w="400" w:type="dxa"/>
            <w:vAlign w:val="bottom"/>
          </w:tcPr>
          <w:p>
            <w:pPr>
              <w:jc w:val="right"/>
              <w:ind w:right="239"/>
              <w:spacing w:after="0"/>
              <w:rPr>
                <w:sz w:val="20"/>
                <w:szCs w:val="20"/>
                <w:color w:val="auto"/>
              </w:rPr>
            </w:pPr>
            <w:r>
              <w:rPr>
                <w:rFonts w:ascii="Arial" w:cs="Arial" w:eastAsia="Arial" w:hAnsi="Arial"/>
                <w:sz w:val="16"/>
                <w:szCs w:val="16"/>
                <w:color w:val="auto"/>
                <w:w w:val="95"/>
              </w:rPr>
              <w:t>*</w:t>
            </w:r>
          </w:p>
        </w:tc>
        <w:tc>
          <w:tcPr>
            <w:tcW w:w="5240" w:type="dxa"/>
            <w:vAlign w:val="bottom"/>
          </w:tcPr>
          <w:p>
            <w:pPr>
              <w:ind w:left="60"/>
              <w:spacing w:after="0"/>
              <w:rPr>
                <w:sz w:val="20"/>
                <w:szCs w:val="20"/>
                <w:color w:val="auto"/>
              </w:rPr>
            </w:pPr>
            <w:r>
              <w:rPr>
                <w:rFonts w:ascii="Arial" w:cs="Arial" w:eastAsia="Arial" w:hAnsi="Arial"/>
                <w:sz w:val="16"/>
                <w:szCs w:val="16"/>
                <w:color w:val="auto"/>
              </w:rPr>
              <w:t>Vanguard Target Retirement 2040 Trust Plus</w:t>
            </w:r>
          </w:p>
        </w:tc>
        <w:tc>
          <w:tcPr>
            <w:tcW w:w="3060" w:type="dxa"/>
            <w:vAlign w:val="bottom"/>
          </w:tcPr>
          <w:p>
            <w:pPr>
              <w:ind w:left="440"/>
              <w:spacing w:after="0"/>
              <w:rPr>
                <w:sz w:val="20"/>
                <w:szCs w:val="20"/>
                <w:color w:val="auto"/>
              </w:rPr>
            </w:pPr>
            <w:r>
              <w:rPr>
                <w:rFonts w:ascii="Arial" w:cs="Arial" w:eastAsia="Arial" w:hAnsi="Arial"/>
                <w:sz w:val="16"/>
                <w:szCs w:val="16"/>
                <w:color w:val="auto"/>
              </w:rPr>
              <w:t>Collective Trust</w:t>
            </w:r>
          </w:p>
        </w:tc>
        <w:tc>
          <w:tcPr>
            <w:tcW w:w="1120" w:type="dxa"/>
            <w:vAlign w:val="bottom"/>
          </w:tcPr>
          <w:p>
            <w:pPr>
              <w:jc w:val="center"/>
              <w:spacing w:after="0"/>
              <w:rPr>
                <w:sz w:val="20"/>
                <w:szCs w:val="20"/>
                <w:color w:val="auto"/>
              </w:rPr>
            </w:pPr>
            <w:r>
              <w:rPr>
                <w:rFonts w:ascii="Arial" w:cs="Arial" w:eastAsia="Arial" w:hAnsi="Arial"/>
                <w:sz w:val="16"/>
                <w:szCs w:val="16"/>
                <w:color w:val="auto"/>
                <w:w w:val="96"/>
              </w:rPr>
              <w:t>**</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286,012</w:t>
            </w:r>
          </w:p>
        </w:tc>
        <w:tc>
          <w:tcPr>
            <w:tcW w:w="0" w:type="dxa"/>
            <w:vAlign w:val="bottom"/>
          </w:tcPr>
          <w:p>
            <w:pPr>
              <w:spacing w:after="0"/>
              <w:rPr>
                <w:sz w:val="1"/>
                <w:szCs w:val="1"/>
                <w:color w:val="auto"/>
              </w:rPr>
            </w:pPr>
          </w:p>
        </w:tc>
      </w:tr>
      <w:tr>
        <w:trPr>
          <w:trHeight w:val="217"/>
        </w:trPr>
        <w:tc>
          <w:tcPr>
            <w:tcW w:w="4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95"/>
              </w:rPr>
              <w:t>*</w:t>
            </w:r>
          </w:p>
        </w:tc>
        <w:tc>
          <w:tcPr>
            <w:tcW w:w="5240" w:type="dxa"/>
            <w:vAlign w:val="bottom"/>
            <w:shd w:val="clear" w:color="auto" w:fill="CCEEFF"/>
          </w:tcPr>
          <w:p>
            <w:pPr>
              <w:ind w:left="60"/>
              <w:spacing w:after="0"/>
              <w:rPr>
                <w:sz w:val="20"/>
                <w:szCs w:val="20"/>
                <w:color w:val="auto"/>
              </w:rPr>
            </w:pPr>
            <w:r>
              <w:rPr>
                <w:rFonts w:ascii="Arial" w:cs="Arial" w:eastAsia="Arial" w:hAnsi="Arial"/>
                <w:sz w:val="16"/>
                <w:szCs w:val="16"/>
                <w:color w:val="auto"/>
              </w:rPr>
              <w:t>Vanguard Target Retirement 2045 Trust Plus</w:t>
            </w:r>
          </w:p>
        </w:tc>
        <w:tc>
          <w:tcPr>
            <w:tcW w:w="3060" w:type="dxa"/>
            <w:vAlign w:val="bottom"/>
            <w:shd w:val="clear" w:color="auto" w:fill="CCEEFF"/>
          </w:tcPr>
          <w:p>
            <w:pPr>
              <w:ind w:left="440"/>
              <w:spacing w:after="0"/>
              <w:rPr>
                <w:sz w:val="20"/>
                <w:szCs w:val="20"/>
                <w:color w:val="auto"/>
              </w:rPr>
            </w:pPr>
            <w:r>
              <w:rPr>
                <w:rFonts w:ascii="Arial" w:cs="Arial" w:eastAsia="Arial" w:hAnsi="Arial"/>
                <w:sz w:val="16"/>
                <w:szCs w:val="16"/>
                <w:color w:val="auto"/>
              </w:rPr>
              <w:t>Collective Trust</w:t>
            </w:r>
          </w:p>
        </w:tc>
        <w:tc>
          <w:tcPr>
            <w:tcW w:w="11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256,207</w:t>
            </w:r>
          </w:p>
        </w:tc>
        <w:tc>
          <w:tcPr>
            <w:tcW w:w="0" w:type="dxa"/>
            <w:vAlign w:val="bottom"/>
          </w:tcPr>
          <w:p>
            <w:pPr>
              <w:spacing w:after="0"/>
              <w:rPr>
                <w:sz w:val="1"/>
                <w:szCs w:val="1"/>
                <w:color w:val="auto"/>
              </w:rPr>
            </w:pPr>
          </w:p>
        </w:tc>
      </w:tr>
      <w:tr>
        <w:trPr>
          <w:trHeight w:val="215"/>
        </w:trPr>
        <w:tc>
          <w:tcPr>
            <w:tcW w:w="400" w:type="dxa"/>
            <w:vAlign w:val="bottom"/>
          </w:tcPr>
          <w:p>
            <w:pPr>
              <w:jc w:val="right"/>
              <w:ind w:right="239"/>
              <w:spacing w:after="0"/>
              <w:rPr>
                <w:sz w:val="20"/>
                <w:szCs w:val="20"/>
                <w:color w:val="auto"/>
              </w:rPr>
            </w:pPr>
            <w:r>
              <w:rPr>
                <w:rFonts w:ascii="Arial" w:cs="Arial" w:eastAsia="Arial" w:hAnsi="Arial"/>
                <w:sz w:val="16"/>
                <w:szCs w:val="16"/>
                <w:color w:val="auto"/>
                <w:w w:val="95"/>
              </w:rPr>
              <w:t>*</w:t>
            </w:r>
          </w:p>
        </w:tc>
        <w:tc>
          <w:tcPr>
            <w:tcW w:w="5240" w:type="dxa"/>
            <w:vAlign w:val="bottom"/>
          </w:tcPr>
          <w:p>
            <w:pPr>
              <w:ind w:left="60"/>
              <w:spacing w:after="0"/>
              <w:rPr>
                <w:sz w:val="20"/>
                <w:szCs w:val="20"/>
                <w:color w:val="auto"/>
              </w:rPr>
            </w:pPr>
            <w:r>
              <w:rPr>
                <w:rFonts w:ascii="Arial" w:cs="Arial" w:eastAsia="Arial" w:hAnsi="Arial"/>
                <w:sz w:val="16"/>
                <w:szCs w:val="16"/>
                <w:color w:val="auto"/>
              </w:rPr>
              <w:t>Vanguard Target Retirement 2050 Trust Plus</w:t>
            </w:r>
          </w:p>
        </w:tc>
        <w:tc>
          <w:tcPr>
            <w:tcW w:w="3060" w:type="dxa"/>
            <w:vAlign w:val="bottom"/>
          </w:tcPr>
          <w:p>
            <w:pPr>
              <w:ind w:left="440"/>
              <w:spacing w:after="0"/>
              <w:rPr>
                <w:sz w:val="20"/>
                <w:szCs w:val="20"/>
                <w:color w:val="auto"/>
              </w:rPr>
            </w:pPr>
            <w:r>
              <w:rPr>
                <w:rFonts w:ascii="Arial" w:cs="Arial" w:eastAsia="Arial" w:hAnsi="Arial"/>
                <w:sz w:val="16"/>
                <w:szCs w:val="16"/>
                <w:color w:val="auto"/>
              </w:rPr>
              <w:t>Collective Trust</w:t>
            </w:r>
          </w:p>
        </w:tc>
        <w:tc>
          <w:tcPr>
            <w:tcW w:w="1120" w:type="dxa"/>
            <w:vAlign w:val="bottom"/>
          </w:tcPr>
          <w:p>
            <w:pPr>
              <w:jc w:val="center"/>
              <w:spacing w:after="0"/>
              <w:rPr>
                <w:sz w:val="20"/>
                <w:szCs w:val="20"/>
                <w:color w:val="auto"/>
              </w:rPr>
            </w:pPr>
            <w:r>
              <w:rPr>
                <w:rFonts w:ascii="Arial" w:cs="Arial" w:eastAsia="Arial" w:hAnsi="Arial"/>
                <w:sz w:val="16"/>
                <w:szCs w:val="16"/>
                <w:color w:val="auto"/>
                <w:w w:val="96"/>
              </w:rPr>
              <w:t>**</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197,854</w:t>
            </w:r>
          </w:p>
        </w:tc>
        <w:tc>
          <w:tcPr>
            <w:tcW w:w="0" w:type="dxa"/>
            <w:vAlign w:val="bottom"/>
          </w:tcPr>
          <w:p>
            <w:pPr>
              <w:spacing w:after="0"/>
              <w:rPr>
                <w:sz w:val="1"/>
                <w:szCs w:val="1"/>
                <w:color w:val="auto"/>
              </w:rPr>
            </w:pPr>
          </w:p>
        </w:tc>
      </w:tr>
      <w:tr>
        <w:trPr>
          <w:trHeight w:val="217"/>
        </w:trPr>
        <w:tc>
          <w:tcPr>
            <w:tcW w:w="4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95"/>
              </w:rPr>
              <w:t>*</w:t>
            </w:r>
          </w:p>
        </w:tc>
        <w:tc>
          <w:tcPr>
            <w:tcW w:w="5240" w:type="dxa"/>
            <w:vAlign w:val="bottom"/>
            <w:shd w:val="clear" w:color="auto" w:fill="CCEEFF"/>
          </w:tcPr>
          <w:p>
            <w:pPr>
              <w:ind w:left="60"/>
              <w:spacing w:after="0"/>
              <w:rPr>
                <w:sz w:val="20"/>
                <w:szCs w:val="20"/>
                <w:color w:val="auto"/>
              </w:rPr>
            </w:pPr>
            <w:r>
              <w:rPr>
                <w:rFonts w:ascii="Arial" w:cs="Arial" w:eastAsia="Arial" w:hAnsi="Arial"/>
                <w:sz w:val="16"/>
                <w:szCs w:val="16"/>
                <w:color w:val="auto"/>
              </w:rPr>
              <w:t>Vanguard Target Retirement 2055 Trust Plus</w:t>
            </w:r>
          </w:p>
        </w:tc>
        <w:tc>
          <w:tcPr>
            <w:tcW w:w="3060" w:type="dxa"/>
            <w:vAlign w:val="bottom"/>
            <w:shd w:val="clear" w:color="auto" w:fill="CCEEFF"/>
          </w:tcPr>
          <w:p>
            <w:pPr>
              <w:ind w:left="440"/>
              <w:spacing w:after="0"/>
              <w:rPr>
                <w:sz w:val="20"/>
                <w:szCs w:val="20"/>
                <w:color w:val="auto"/>
              </w:rPr>
            </w:pPr>
            <w:r>
              <w:rPr>
                <w:rFonts w:ascii="Arial" w:cs="Arial" w:eastAsia="Arial" w:hAnsi="Arial"/>
                <w:sz w:val="16"/>
                <w:szCs w:val="16"/>
                <w:color w:val="auto"/>
              </w:rPr>
              <w:t>Collective Trust</w:t>
            </w:r>
          </w:p>
        </w:tc>
        <w:tc>
          <w:tcPr>
            <w:tcW w:w="11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117,513</w:t>
            </w:r>
          </w:p>
        </w:tc>
        <w:tc>
          <w:tcPr>
            <w:tcW w:w="0" w:type="dxa"/>
            <w:vAlign w:val="bottom"/>
          </w:tcPr>
          <w:p>
            <w:pPr>
              <w:spacing w:after="0"/>
              <w:rPr>
                <w:sz w:val="1"/>
                <w:szCs w:val="1"/>
                <w:color w:val="auto"/>
              </w:rPr>
            </w:pPr>
          </w:p>
        </w:tc>
      </w:tr>
      <w:tr>
        <w:trPr>
          <w:trHeight w:val="215"/>
        </w:trPr>
        <w:tc>
          <w:tcPr>
            <w:tcW w:w="400" w:type="dxa"/>
            <w:vAlign w:val="bottom"/>
          </w:tcPr>
          <w:p>
            <w:pPr>
              <w:jc w:val="right"/>
              <w:ind w:right="239"/>
              <w:spacing w:after="0"/>
              <w:rPr>
                <w:sz w:val="20"/>
                <w:szCs w:val="20"/>
                <w:color w:val="auto"/>
              </w:rPr>
            </w:pPr>
            <w:r>
              <w:rPr>
                <w:rFonts w:ascii="Arial" w:cs="Arial" w:eastAsia="Arial" w:hAnsi="Arial"/>
                <w:sz w:val="16"/>
                <w:szCs w:val="16"/>
                <w:color w:val="auto"/>
                <w:w w:val="95"/>
              </w:rPr>
              <w:t>*</w:t>
            </w:r>
          </w:p>
        </w:tc>
        <w:tc>
          <w:tcPr>
            <w:tcW w:w="5240" w:type="dxa"/>
            <w:vAlign w:val="bottom"/>
          </w:tcPr>
          <w:p>
            <w:pPr>
              <w:ind w:left="60"/>
              <w:spacing w:after="0"/>
              <w:rPr>
                <w:sz w:val="20"/>
                <w:szCs w:val="20"/>
                <w:color w:val="auto"/>
              </w:rPr>
            </w:pPr>
            <w:r>
              <w:rPr>
                <w:rFonts w:ascii="Arial" w:cs="Arial" w:eastAsia="Arial" w:hAnsi="Arial"/>
                <w:sz w:val="16"/>
                <w:szCs w:val="16"/>
                <w:color w:val="auto"/>
              </w:rPr>
              <w:t>Vanguard Target Retirement 2060 Trust Plus</w:t>
            </w:r>
          </w:p>
        </w:tc>
        <w:tc>
          <w:tcPr>
            <w:tcW w:w="3060" w:type="dxa"/>
            <w:vAlign w:val="bottom"/>
          </w:tcPr>
          <w:p>
            <w:pPr>
              <w:ind w:left="440"/>
              <w:spacing w:after="0"/>
              <w:rPr>
                <w:sz w:val="20"/>
                <w:szCs w:val="20"/>
                <w:color w:val="auto"/>
              </w:rPr>
            </w:pPr>
            <w:r>
              <w:rPr>
                <w:rFonts w:ascii="Arial" w:cs="Arial" w:eastAsia="Arial" w:hAnsi="Arial"/>
                <w:sz w:val="16"/>
                <w:szCs w:val="16"/>
                <w:color w:val="auto"/>
              </w:rPr>
              <w:t>Collective Trust</w:t>
            </w:r>
          </w:p>
        </w:tc>
        <w:tc>
          <w:tcPr>
            <w:tcW w:w="1120" w:type="dxa"/>
            <w:vAlign w:val="bottom"/>
          </w:tcPr>
          <w:p>
            <w:pPr>
              <w:jc w:val="center"/>
              <w:spacing w:after="0"/>
              <w:rPr>
                <w:sz w:val="20"/>
                <w:szCs w:val="20"/>
                <w:color w:val="auto"/>
              </w:rPr>
            </w:pPr>
            <w:r>
              <w:rPr>
                <w:rFonts w:ascii="Arial" w:cs="Arial" w:eastAsia="Arial" w:hAnsi="Arial"/>
                <w:sz w:val="16"/>
                <w:szCs w:val="16"/>
                <w:color w:val="auto"/>
                <w:w w:val="96"/>
              </w:rPr>
              <w:t>**</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72,826</w:t>
            </w:r>
          </w:p>
        </w:tc>
        <w:tc>
          <w:tcPr>
            <w:tcW w:w="0" w:type="dxa"/>
            <w:vAlign w:val="bottom"/>
          </w:tcPr>
          <w:p>
            <w:pPr>
              <w:spacing w:after="0"/>
              <w:rPr>
                <w:sz w:val="1"/>
                <w:szCs w:val="1"/>
                <w:color w:val="auto"/>
              </w:rPr>
            </w:pPr>
          </w:p>
        </w:tc>
      </w:tr>
      <w:tr>
        <w:trPr>
          <w:trHeight w:val="217"/>
        </w:trPr>
        <w:tc>
          <w:tcPr>
            <w:tcW w:w="4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95"/>
              </w:rPr>
              <w:t>*</w:t>
            </w:r>
          </w:p>
        </w:tc>
        <w:tc>
          <w:tcPr>
            <w:tcW w:w="5240" w:type="dxa"/>
            <w:vAlign w:val="bottom"/>
            <w:shd w:val="clear" w:color="auto" w:fill="CCEEFF"/>
          </w:tcPr>
          <w:p>
            <w:pPr>
              <w:ind w:left="60"/>
              <w:spacing w:after="0"/>
              <w:rPr>
                <w:sz w:val="20"/>
                <w:szCs w:val="20"/>
                <w:color w:val="auto"/>
              </w:rPr>
            </w:pPr>
            <w:r>
              <w:rPr>
                <w:rFonts w:ascii="Arial" w:cs="Arial" w:eastAsia="Arial" w:hAnsi="Arial"/>
                <w:sz w:val="16"/>
                <w:szCs w:val="16"/>
                <w:color w:val="auto"/>
              </w:rPr>
              <w:t>Vanguard Target Retirement 2065 Trust Plus</w:t>
            </w:r>
          </w:p>
        </w:tc>
        <w:tc>
          <w:tcPr>
            <w:tcW w:w="3060" w:type="dxa"/>
            <w:vAlign w:val="bottom"/>
            <w:shd w:val="clear" w:color="auto" w:fill="CCEEFF"/>
          </w:tcPr>
          <w:p>
            <w:pPr>
              <w:ind w:left="440"/>
              <w:spacing w:after="0"/>
              <w:rPr>
                <w:sz w:val="20"/>
                <w:szCs w:val="20"/>
                <w:color w:val="auto"/>
              </w:rPr>
            </w:pPr>
            <w:r>
              <w:rPr>
                <w:rFonts w:ascii="Arial" w:cs="Arial" w:eastAsia="Arial" w:hAnsi="Arial"/>
                <w:sz w:val="16"/>
                <w:szCs w:val="16"/>
                <w:color w:val="auto"/>
              </w:rPr>
              <w:t>Collective Trust</w:t>
            </w:r>
          </w:p>
        </w:tc>
        <w:tc>
          <w:tcPr>
            <w:tcW w:w="11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26,558</w:t>
            </w:r>
          </w:p>
        </w:tc>
        <w:tc>
          <w:tcPr>
            <w:tcW w:w="0" w:type="dxa"/>
            <w:vAlign w:val="bottom"/>
          </w:tcPr>
          <w:p>
            <w:pPr>
              <w:spacing w:after="0"/>
              <w:rPr>
                <w:sz w:val="1"/>
                <w:szCs w:val="1"/>
                <w:color w:val="auto"/>
              </w:rPr>
            </w:pPr>
          </w:p>
        </w:tc>
      </w:tr>
      <w:tr>
        <w:trPr>
          <w:trHeight w:val="215"/>
        </w:trPr>
        <w:tc>
          <w:tcPr>
            <w:tcW w:w="400" w:type="dxa"/>
            <w:vAlign w:val="bottom"/>
          </w:tcPr>
          <w:p>
            <w:pPr>
              <w:jc w:val="right"/>
              <w:ind w:right="239"/>
              <w:spacing w:after="0"/>
              <w:rPr>
                <w:sz w:val="20"/>
                <w:szCs w:val="20"/>
                <w:color w:val="auto"/>
              </w:rPr>
            </w:pPr>
            <w:r>
              <w:rPr>
                <w:rFonts w:ascii="Arial" w:cs="Arial" w:eastAsia="Arial" w:hAnsi="Arial"/>
                <w:sz w:val="16"/>
                <w:szCs w:val="16"/>
                <w:color w:val="auto"/>
                <w:w w:val="95"/>
              </w:rPr>
              <w:t>*</w:t>
            </w:r>
          </w:p>
        </w:tc>
        <w:tc>
          <w:tcPr>
            <w:tcW w:w="5240" w:type="dxa"/>
            <w:vAlign w:val="bottom"/>
          </w:tcPr>
          <w:p>
            <w:pPr>
              <w:ind w:left="60"/>
              <w:spacing w:after="0"/>
              <w:rPr>
                <w:sz w:val="20"/>
                <w:szCs w:val="20"/>
                <w:color w:val="auto"/>
              </w:rPr>
            </w:pPr>
            <w:r>
              <w:rPr>
                <w:rFonts w:ascii="Arial" w:cs="Arial" w:eastAsia="Arial" w:hAnsi="Arial"/>
                <w:sz w:val="16"/>
                <w:szCs w:val="16"/>
                <w:color w:val="auto"/>
              </w:rPr>
              <w:t>Vanguard Target Retirement 2070 Trust Plus</w:t>
            </w:r>
          </w:p>
        </w:tc>
        <w:tc>
          <w:tcPr>
            <w:tcW w:w="3060" w:type="dxa"/>
            <w:vAlign w:val="bottom"/>
          </w:tcPr>
          <w:p>
            <w:pPr>
              <w:ind w:left="440"/>
              <w:spacing w:after="0"/>
              <w:rPr>
                <w:sz w:val="20"/>
                <w:szCs w:val="20"/>
                <w:color w:val="auto"/>
              </w:rPr>
            </w:pPr>
            <w:r>
              <w:rPr>
                <w:rFonts w:ascii="Arial" w:cs="Arial" w:eastAsia="Arial" w:hAnsi="Arial"/>
                <w:sz w:val="16"/>
                <w:szCs w:val="16"/>
                <w:color w:val="auto"/>
              </w:rPr>
              <w:t>Collective Trust</w:t>
            </w:r>
          </w:p>
        </w:tc>
        <w:tc>
          <w:tcPr>
            <w:tcW w:w="1120" w:type="dxa"/>
            <w:vAlign w:val="bottom"/>
          </w:tcPr>
          <w:p>
            <w:pPr>
              <w:jc w:val="center"/>
              <w:spacing w:after="0"/>
              <w:rPr>
                <w:sz w:val="20"/>
                <w:szCs w:val="20"/>
                <w:color w:val="auto"/>
              </w:rPr>
            </w:pPr>
            <w:r>
              <w:rPr>
                <w:rFonts w:ascii="Arial" w:cs="Arial" w:eastAsia="Arial" w:hAnsi="Arial"/>
                <w:sz w:val="16"/>
                <w:szCs w:val="16"/>
                <w:color w:val="auto"/>
                <w:w w:val="96"/>
              </w:rPr>
              <w:t>**</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5,562</w:t>
            </w:r>
          </w:p>
        </w:tc>
        <w:tc>
          <w:tcPr>
            <w:tcW w:w="0" w:type="dxa"/>
            <w:vAlign w:val="bottom"/>
          </w:tcPr>
          <w:p>
            <w:pPr>
              <w:spacing w:after="0"/>
              <w:rPr>
                <w:sz w:val="1"/>
                <w:szCs w:val="1"/>
                <w:color w:val="auto"/>
              </w:rPr>
            </w:pPr>
          </w:p>
        </w:tc>
      </w:tr>
      <w:tr>
        <w:trPr>
          <w:trHeight w:val="217"/>
        </w:trPr>
        <w:tc>
          <w:tcPr>
            <w:tcW w:w="4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95"/>
              </w:rPr>
              <w:t>*</w:t>
            </w:r>
          </w:p>
        </w:tc>
        <w:tc>
          <w:tcPr>
            <w:tcW w:w="5240" w:type="dxa"/>
            <w:vAlign w:val="bottom"/>
            <w:shd w:val="clear" w:color="auto" w:fill="CCEEFF"/>
          </w:tcPr>
          <w:p>
            <w:pPr>
              <w:ind w:left="60"/>
              <w:spacing w:after="0"/>
              <w:rPr>
                <w:sz w:val="20"/>
                <w:szCs w:val="20"/>
                <w:color w:val="auto"/>
              </w:rPr>
            </w:pPr>
            <w:r>
              <w:rPr>
                <w:rFonts w:ascii="Arial" w:cs="Arial" w:eastAsia="Arial" w:hAnsi="Arial"/>
                <w:sz w:val="16"/>
                <w:szCs w:val="16"/>
                <w:color w:val="auto"/>
              </w:rPr>
              <w:t>Vanguard Target Retirement Income Trust Plus</w:t>
            </w:r>
          </w:p>
        </w:tc>
        <w:tc>
          <w:tcPr>
            <w:tcW w:w="3060" w:type="dxa"/>
            <w:vAlign w:val="bottom"/>
            <w:shd w:val="clear" w:color="auto" w:fill="CCEEFF"/>
          </w:tcPr>
          <w:p>
            <w:pPr>
              <w:ind w:left="440"/>
              <w:spacing w:after="0"/>
              <w:rPr>
                <w:sz w:val="20"/>
                <w:szCs w:val="20"/>
                <w:color w:val="auto"/>
              </w:rPr>
            </w:pPr>
            <w:r>
              <w:rPr>
                <w:rFonts w:ascii="Arial" w:cs="Arial" w:eastAsia="Arial" w:hAnsi="Arial"/>
                <w:sz w:val="16"/>
                <w:szCs w:val="16"/>
                <w:color w:val="auto"/>
              </w:rPr>
              <w:t>Collective Trust</w:t>
            </w:r>
          </w:p>
        </w:tc>
        <w:tc>
          <w:tcPr>
            <w:tcW w:w="11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105,675</w:t>
            </w:r>
          </w:p>
        </w:tc>
        <w:tc>
          <w:tcPr>
            <w:tcW w:w="0" w:type="dxa"/>
            <w:vAlign w:val="bottom"/>
          </w:tcPr>
          <w:p>
            <w:pPr>
              <w:spacing w:after="0"/>
              <w:rPr>
                <w:sz w:val="1"/>
                <w:szCs w:val="1"/>
                <w:color w:val="auto"/>
              </w:rPr>
            </w:pPr>
          </w:p>
        </w:tc>
      </w:tr>
      <w:tr>
        <w:trPr>
          <w:trHeight w:val="215"/>
        </w:trPr>
        <w:tc>
          <w:tcPr>
            <w:tcW w:w="400" w:type="dxa"/>
            <w:vAlign w:val="bottom"/>
          </w:tcPr>
          <w:p>
            <w:pPr>
              <w:spacing w:after="0"/>
              <w:rPr>
                <w:sz w:val="18"/>
                <w:szCs w:val="18"/>
                <w:color w:val="auto"/>
              </w:rPr>
            </w:pPr>
          </w:p>
        </w:tc>
        <w:tc>
          <w:tcPr>
            <w:tcW w:w="5240" w:type="dxa"/>
            <w:vAlign w:val="bottom"/>
          </w:tcPr>
          <w:p>
            <w:pPr>
              <w:ind w:left="60"/>
              <w:spacing w:after="0"/>
              <w:rPr>
                <w:sz w:val="20"/>
                <w:szCs w:val="20"/>
                <w:color w:val="auto"/>
              </w:rPr>
            </w:pPr>
            <w:r>
              <w:rPr>
                <w:rFonts w:ascii="Arial" w:cs="Arial" w:eastAsia="Arial" w:hAnsi="Arial"/>
                <w:sz w:val="16"/>
                <w:szCs w:val="16"/>
                <w:color w:val="auto"/>
              </w:rPr>
              <w:t>Wellington Trust Small Cap 2000</w:t>
            </w:r>
          </w:p>
        </w:tc>
        <w:tc>
          <w:tcPr>
            <w:tcW w:w="3060" w:type="dxa"/>
            <w:vAlign w:val="bottom"/>
          </w:tcPr>
          <w:p>
            <w:pPr>
              <w:ind w:left="440"/>
              <w:spacing w:after="0"/>
              <w:rPr>
                <w:sz w:val="20"/>
                <w:szCs w:val="20"/>
                <w:color w:val="auto"/>
              </w:rPr>
            </w:pPr>
            <w:r>
              <w:rPr>
                <w:rFonts w:ascii="Arial" w:cs="Arial" w:eastAsia="Arial" w:hAnsi="Arial"/>
                <w:sz w:val="16"/>
                <w:szCs w:val="16"/>
                <w:color w:val="auto"/>
              </w:rPr>
              <w:t>Collective Trust</w:t>
            </w:r>
          </w:p>
        </w:tc>
        <w:tc>
          <w:tcPr>
            <w:tcW w:w="1120" w:type="dxa"/>
            <w:vAlign w:val="bottom"/>
          </w:tcPr>
          <w:p>
            <w:pPr>
              <w:jc w:val="center"/>
              <w:spacing w:after="0"/>
              <w:rPr>
                <w:sz w:val="20"/>
                <w:szCs w:val="20"/>
                <w:color w:val="auto"/>
              </w:rPr>
            </w:pPr>
            <w:r>
              <w:rPr>
                <w:rFonts w:ascii="Arial" w:cs="Arial" w:eastAsia="Arial" w:hAnsi="Arial"/>
                <w:sz w:val="16"/>
                <w:szCs w:val="16"/>
                <w:color w:val="auto"/>
                <w:w w:val="96"/>
              </w:rPr>
              <w:t>**</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118,442</w:t>
            </w:r>
          </w:p>
        </w:tc>
        <w:tc>
          <w:tcPr>
            <w:tcW w:w="0" w:type="dxa"/>
            <w:vAlign w:val="bottom"/>
          </w:tcPr>
          <w:p>
            <w:pPr>
              <w:spacing w:after="0"/>
              <w:rPr>
                <w:sz w:val="1"/>
                <w:szCs w:val="1"/>
                <w:color w:val="auto"/>
              </w:rPr>
            </w:pPr>
          </w:p>
        </w:tc>
      </w:tr>
      <w:tr>
        <w:trPr>
          <w:trHeight w:val="217"/>
        </w:trPr>
        <w:tc>
          <w:tcPr>
            <w:tcW w:w="400" w:type="dxa"/>
            <w:vAlign w:val="bottom"/>
            <w:shd w:val="clear" w:color="auto" w:fill="CCEEFF"/>
          </w:tcPr>
          <w:p>
            <w:pPr>
              <w:spacing w:after="0"/>
              <w:rPr>
                <w:sz w:val="18"/>
                <w:szCs w:val="18"/>
                <w:color w:val="auto"/>
              </w:rPr>
            </w:pPr>
          </w:p>
        </w:tc>
        <w:tc>
          <w:tcPr>
            <w:tcW w:w="5240" w:type="dxa"/>
            <w:vAlign w:val="bottom"/>
            <w:shd w:val="clear" w:color="auto" w:fill="CCEEFF"/>
          </w:tcPr>
          <w:p>
            <w:pPr>
              <w:ind w:left="60"/>
              <w:spacing w:after="0"/>
              <w:rPr>
                <w:sz w:val="20"/>
                <w:szCs w:val="20"/>
                <w:color w:val="auto"/>
              </w:rPr>
            </w:pPr>
            <w:r>
              <w:rPr>
                <w:rFonts w:ascii="Arial" w:cs="Arial" w:eastAsia="Arial" w:hAnsi="Arial"/>
                <w:sz w:val="16"/>
                <w:szCs w:val="16"/>
                <w:color w:val="auto"/>
              </w:rPr>
              <w:t>Wellington Trust TIPS</w:t>
            </w:r>
          </w:p>
        </w:tc>
        <w:tc>
          <w:tcPr>
            <w:tcW w:w="3060" w:type="dxa"/>
            <w:vAlign w:val="bottom"/>
            <w:shd w:val="clear" w:color="auto" w:fill="CCEEFF"/>
          </w:tcPr>
          <w:p>
            <w:pPr>
              <w:ind w:left="440"/>
              <w:spacing w:after="0"/>
              <w:rPr>
                <w:sz w:val="20"/>
                <w:szCs w:val="20"/>
                <w:color w:val="auto"/>
              </w:rPr>
            </w:pPr>
            <w:r>
              <w:rPr>
                <w:rFonts w:ascii="Arial" w:cs="Arial" w:eastAsia="Arial" w:hAnsi="Arial"/>
                <w:sz w:val="16"/>
                <w:szCs w:val="16"/>
                <w:color w:val="auto"/>
              </w:rPr>
              <w:t>Collective Trust</w:t>
            </w:r>
          </w:p>
        </w:tc>
        <w:tc>
          <w:tcPr>
            <w:tcW w:w="11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19,146</w:t>
            </w:r>
          </w:p>
        </w:tc>
        <w:tc>
          <w:tcPr>
            <w:tcW w:w="0" w:type="dxa"/>
            <w:vAlign w:val="bottom"/>
          </w:tcPr>
          <w:p>
            <w:pPr>
              <w:spacing w:after="0"/>
              <w:rPr>
                <w:sz w:val="1"/>
                <w:szCs w:val="1"/>
                <w:color w:val="auto"/>
              </w:rPr>
            </w:pPr>
          </w:p>
        </w:tc>
      </w:tr>
      <w:tr>
        <w:trPr>
          <w:trHeight w:val="215"/>
        </w:trPr>
        <w:tc>
          <w:tcPr>
            <w:tcW w:w="400" w:type="dxa"/>
            <w:vAlign w:val="bottom"/>
          </w:tcPr>
          <w:p>
            <w:pPr>
              <w:spacing w:after="0"/>
              <w:rPr>
                <w:sz w:val="18"/>
                <w:szCs w:val="18"/>
                <w:color w:val="auto"/>
              </w:rPr>
            </w:pPr>
          </w:p>
        </w:tc>
        <w:tc>
          <w:tcPr>
            <w:tcW w:w="5240" w:type="dxa"/>
            <w:vAlign w:val="bottom"/>
          </w:tcPr>
          <w:p>
            <w:pPr>
              <w:ind w:left="60"/>
              <w:spacing w:after="0"/>
              <w:rPr>
                <w:sz w:val="20"/>
                <w:szCs w:val="20"/>
                <w:color w:val="auto"/>
              </w:rPr>
            </w:pPr>
            <w:r>
              <w:rPr>
                <w:rFonts w:ascii="Arial" w:cs="Arial" w:eastAsia="Arial" w:hAnsi="Arial"/>
                <w:sz w:val="16"/>
                <w:szCs w:val="16"/>
                <w:color w:val="auto"/>
              </w:rPr>
              <w:t>Self-Directed Brokerage Fund</w:t>
            </w:r>
          </w:p>
        </w:tc>
        <w:tc>
          <w:tcPr>
            <w:tcW w:w="3060" w:type="dxa"/>
            <w:vAlign w:val="bottom"/>
          </w:tcPr>
          <w:p>
            <w:pPr>
              <w:ind w:left="440"/>
              <w:spacing w:after="0"/>
              <w:rPr>
                <w:sz w:val="20"/>
                <w:szCs w:val="20"/>
                <w:color w:val="auto"/>
              </w:rPr>
            </w:pPr>
            <w:r>
              <w:rPr>
                <w:rFonts w:ascii="Arial" w:cs="Arial" w:eastAsia="Arial" w:hAnsi="Arial"/>
                <w:sz w:val="16"/>
                <w:szCs w:val="16"/>
                <w:color w:val="auto"/>
              </w:rPr>
              <w:t>Various</w:t>
            </w:r>
          </w:p>
        </w:tc>
        <w:tc>
          <w:tcPr>
            <w:tcW w:w="1120" w:type="dxa"/>
            <w:vAlign w:val="bottom"/>
          </w:tcPr>
          <w:p>
            <w:pPr>
              <w:jc w:val="center"/>
              <w:spacing w:after="0"/>
              <w:rPr>
                <w:sz w:val="20"/>
                <w:szCs w:val="20"/>
                <w:color w:val="auto"/>
              </w:rPr>
            </w:pPr>
            <w:r>
              <w:rPr>
                <w:rFonts w:ascii="Arial" w:cs="Arial" w:eastAsia="Arial" w:hAnsi="Arial"/>
                <w:sz w:val="16"/>
                <w:szCs w:val="16"/>
                <w:color w:val="auto"/>
                <w:w w:val="96"/>
              </w:rPr>
              <w:t>**</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133,017</w:t>
            </w:r>
          </w:p>
        </w:tc>
        <w:tc>
          <w:tcPr>
            <w:tcW w:w="0" w:type="dxa"/>
            <w:vAlign w:val="bottom"/>
          </w:tcPr>
          <w:p>
            <w:pPr>
              <w:spacing w:after="0"/>
              <w:rPr>
                <w:sz w:val="1"/>
                <w:szCs w:val="1"/>
                <w:color w:val="auto"/>
              </w:rPr>
            </w:pPr>
          </w:p>
        </w:tc>
      </w:tr>
      <w:tr>
        <w:trPr>
          <w:trHeight w:val="163"/>
        </w:trPr>
        <w:tc>
          <w:tcPr>
            <w:tcW w:w="400" w:type="dxa"/>
            <w:vAlign w:val="bottom"/>
            <w:shd w:val="clear" w:color="auto" w:fill="CCEEFF"/>
          </w:tcPr>
          <w:p>
            <w:pPr>
              <w:jc w:val="right"/>
              <w:ind w:right="239"/>
              <w:spacing w:after="0" w:line="163" w:lineRule="exact"/>
              <w:rPr>
                <w:sz w:val="20"/>
                <w:szCs w:val="20"/>
                <w:color w:val="auto"/>
              </w:rPr>
            </w:pPr>
            <w:r>
              <w:rPr>
                <w:rFonts w:ascii="Arial" w:cs="Arial" w:eastAsia="Arial" w:hAnsi="Arial"/>
                <w:sz w:val="16"/>
                <w:szCs w:val="16"/>
                <w:color w:val="auto"/>
                <w:w w:val="95"/>
              </w:rPr>
              <w:t>*</w:t>
            </w:r>
          </w:p>
        </w:tc>
        <w:tc>
          <w:tcPr>
            <w:tcW w:w="5240" w:type="dxa"/>
            <w:vAlign w:val="bottom"/>
            <w:shd w:val="clear" w:color="auto" w:fill="CCEEFF"/>
          </w:tcPr>
          <w:p>
            <w:pPr>
              <w:ind w:left="60"/>
              <w:spacing w:after="0" w:line="163" w:lineRule="exact"/>
              <w:rPr>
                <w:sz w:val="20"/>
                <w:szCs w:val="20"/>
                <w:color w:val="auto"/>
              </w:rPr>
            </w:pPr>
            <w:r>
              <w:rPr>
                <w:rFonts w:ascii="Arial" w:cs="Arial" w:eastAsia="Arial" w:hAnsi="Arial"/>
                <w:sz w:val="16"/>
                <w:szCs w:val="16"/>
                <w:color w:val="auto"/>
              </w:rPr>
              <w:t>Notes Receivable from Participants</w:t>
            </w:r>
          </w:p>
        </w:tc>
        <w:tc>
          <w:tcPr>
            <w:tcW w:w="3060" w:type="dxa"/>
            <w:vAlign w:val="bottom"/>
            <w:shd w:val="clear" w:color="auto" w:fill="CCEEFF"/>
          </w:tcPr>
          <w:p>
            <w:pPr>
              <w:ind w:left="440"/>
              <w:spacing w:after="0" w:line="163" w:lineRule="exact"/>
              <w:rPr>
                <w:sz w:val="20"/>
                <w:szCs w:val="20"/>
                <w:color w:val="auto"/>
              </w:rPr>
            </w:pPr>
            <w:r>
              <w:rPr>
                <w:rFonts w:ascii="Arial" w:cs="Arial" w:eastAsia="Arial" w:hAnsi="Arial"/>
                <w:sz w:val="16"/>
                <w:szCs w:val="16"/>
                <w:color w:val="auto"/>
              </w:rPr>
              <w:t>Loans/Interest rates from 4.25%</w:t>
            </w:r>
          </w:p>
        </w:tc>
        <w:tc>
          <w:tcPr>
            <w:tcW w:w="1120" w:type="dxa"/>
            <w:vAlign w:val="bottom"/>
            <w:shd w:val="clear" w:color="auto" w:fill="CCEEFF"/>
          </w:tcPr>
          <w:p>
            <w:pPr>
              <w:jc w:val="center"/>
              <w:spacing w:after="0" w:line="163" w:lineRule="exact"/>
              <w:rPr>
                <w:sz w:val="20"/>
                <w:szCs w:val="20"/>
                <w:color w:val="auto"/>
              </w:rPr>
            </w:pPr>
            <w:r>
              <w:rPr>
                <w:rFonts w:ascii="Arial" w:cs="Arial" w:eastAsia="Arial" w:hAnsi="Arial"/>
                <w:sz w:val="16"/>
                <w:szCs w:val="16"/>
                <w:color w:val="auto"/>
                <w:w w:val="96"/>
              </w:rPr>
              <w:t>$—</w:t>
            </w: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line="163" w:lineRule="exact"/>
              <w:rPr>
                <w:sz w:val="20"/>
                <w:szCs w:val="20"/>
                <w:color w:val="auto"/>
              </w:rPr>
            </w:pPr>
            <w:r>
              <w:rPr>
                <w:rFonts w:ascii="Arial" w:cs="Arial" w:eastAsia="Arial" w:hAnsi="Arial"/>
                <w:sz w:val="16"/>
                <w:szCs w:val="16"/>
                <w:color w:val="auto"/>
              </w:rPr>
              <w:t>33,678</w:t>
            </w:r>
          </w:p>
        </w:tc>
        <w:tc>
          <w:tcPr>
            <w:tcW w:w="0" w:type="dxa"/>
            <w:vAlign w:val="bottom"/>
          </w:tcPr>
          <w:p>
            <w:pPr>
              <w:spacing w:after="0"/>
              <w:rPr>
                <w:sz w:val="1"/>
                <w:szCs w:val="1"/>
                <w:color w:val="auto"/>
              </w:rPr>
            </w:pPr>
          </w:p>
        </w:tc>
      </w:tr>
      <w:tr>
        <w:trPr>
          <w:trHeight w:val="162"/>
        </w:trPr>
        <w:tc>
          <w:tcPr>
            <w:tcW w:w="400" w:type="dxa"/>
            <w:vAlign w:val="bottom"/>
            <w:shd w:val="clear" w:color="auto" w:fill="CCEEFF"/>
          </w:tcPr>
          <w:p>
            <w:pPr>
              <w:spacing w:after="0"/>
              <w:rPr>
                <w:sz w:val="14"/>
                <w:szCs w:val="14"/>
                <w:color w:val="auto"/>
              </w:rPr>
            </w:pPr>
          </w:p>
        </w:tc>
        <w:tc>
          <w:tcPr>
            <w:tcW w:w="5240" w:type="dxa"/>
            <w:vAlign w:val="bottom"/>
            <w:shd w:val="clear" w:color="auto" w:fill="CCEEFF"/>
          </w:tcPr>
          <w:p>
            <w:pPr>
              <w:spacing w:after="0"/>
              <w:rPr>
                <w:sz w:val="14"/>
                <w:szCs w:val="14"/>
                <w:color w:val="auto"/>
              </w:rPr>
            </w:pPr>
          </w:p>
        </w:tc>
        <w:tc>
          <w:tcPr>
            <w:tcW w:w="3060" w:type="dxa"/>
            <w:vAlign w:val="bottom"/>
            <w:shd w:val="clear" w:color="auto" w:fill="CCEEFF"/>
          </w:tcPr>
          <w:p>
            <w:pPr>
              <w:ind w:left="600"/>
              <w:spacing w:after="0" w:line="162" w:lineRule="exact"/>
              <w:rPr>
                <w:sz w:val="20"/>
                <w:szCs w:val="20"/>
                <w:color w:val="auto"/>
              </w:rPr>
            </w:pPr>
            <w:r>
              <w:rPr>
                <w:rFonts w:ascii="Arial" w:cs="Arial" w:eastAsia="Arial" w:hAnsi="Arial"/>
                <w:sz w:val="16"/>
                <w:szCs w:val="16"/>
                <w:color w:val="auto"/>
              </w:rPr>
              <w:t>to 9.50%; maturities from</w:t>
            </w:r>
          </w:p>
        </w:tc>
        <w:tc>
          <w:tcPr>
            <w:tcW w:w="1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400" w:type="dxa"/>
            <w:vAlign w:val="bottom"/>
            <w:tcBorders>
              <w:bottom w:val="single" w:sz="8" w:color="00497F"/>
            </w:tcBorders>
            <w:shd w:val="clear" w:color="auto" w:fill="CCEEFF"/>
          </w:tcPr>
          <w:p>
            <w:pPr>
              <w:spacing w:after="0"/>
              <w:rPr>
                <w:sz w:val="18"/>
                <w:szCs w:val="18"/>
                <w:color w:val="auto"/>
              </w:rPr>
            </w:pPr>
          </w:p>
        </w:tc>
        <w:tc>
          <w:tcPr>
            <w:tcW w:w="5240" w:type="dxa"/>
            <w:vAlign w:val="bottom"/>
            <w:tcBorders>
              <w:bottom w:val="single" w:sz="8" w:color="00497F"/>
            </w:tcBorders>
            <w:shd w:val="clear" w:color="auto" w:fill="CCEEFF"/>
          </w:tcPr>
          <w:p>
            <w:pPr>
              <w:spacing w:after="0"/>
              <w:rPr>
                <w:sz w:val="18"/>
                <w:szCs w:val="18"/>
                <w:color w:val="auto"/>
              </w:rPr>
            </w:pPr>
          </w:p>
        </w:tc>
        <w:tc>
          <w:tcPr>
            <w:tcW w:w="3060" w:type="dxa"/>
            <w:vAlign w:val="bottom"/>
            <w:tcBorders>
              <w:bottom w:val="single" w:sz="8" w:color="00497F"/>
            </w:tcBorders>
            <w:shd w:val="clear" w:color="auto" w:fill="CCEEFF"/>
          </w:tcPr>
          <w:p>
            <w:pPr>
              <w:jc w:val="center"/>
              <w:ind w:left="239"/>
              <w:spacing w:after="0"/>
              <w:rPr>
                <w:sz w:val="20"/>
                <w:szCs w:val="20"/>
                <w:color w:val="auto"/>
              </w:rPr>
            </w:pPr>
            <w:r>
              <w:rPr>
                <w:rFonts w:ascii="Arial" w:cs="Arial" w:eastAsia="Arial" w:hAnsi="Arial"/>
                <w:sz w:val="16"/>
                <w:szCs w:val="16"/>
                <w:color w:val="auto"/>
              </w:rPr>
              <w:t>January 2026 to October 2055</w:t>
            </w:r>
          </w:p>
        </w:tc>
        <w:tc>
          <w:tcPr>
            <w:tcW w:w="1120" w:type="dxa"/>
            <w:vAlign w:val="bottom"/>
            <w:tcBorders>
              <w:bottom w:val="single" w:sz="8" w:color="00497F"/>
            </w:tcBorders>
            <w:shd w:val="clear" w:color="auto" w:fill="CCEEFF"/>
          </w:tcPr>
          <w:p>
            <w:pPr>
              <w:spacing w:after="0"/>
              <w:rPr>
                <w:sz w:val="18"/>
                <w:szCs w:val="18"/>
                <w:color w:val="auto"/>
              </w:rPr>
            </w:pPr>
          </w:p>
        </w:tc>
        <w:tc>
          <w:tcPr>
            <w:tcW w:w="340" w:type="dxa"/>
            <w:vAlign w:val="bottom"/>
            <w:tcBorders>
              <w:bottom w:val="single" w:sz="8" w:color="00497F"/>
            </w:tcBorders>
            <w:shd w:val="clear" w:color="auto" w:fill="CCEEFF"/>
          </w:tcPr>
          <w:p>
            <w:pPr>
              <w:spacing w:after="0"/>
              <w:rPr>
                <w:sz w:val="18"/>
                <w:szCs w:val="18"/>
                <w:color w:val="auto"/>
              </w:rPr>
            </w:pPr>
          </w:p>
        </w:tc>
        <w:tc>
          <w:tcPr>
            <w:tcW w:w="1080" w:type="dxa"/>
            <w:vAlign w:val="bottom"/>
            <w:tcBorders>
              <w:bottom w:val="single" w:sz="8" w:color="00497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400" w:type="dxa"/>
            <w:vAlign w:val="bottom"/>
            <w:tcBorders>
              <w:bottom w:val="single" w:sz="8" w:color="00497F"/>
            </w:tcBorders>
          </w:tcPr>
          <w:p>
            <w:pPr>
              <w:spacing w:after="0"/>
              <w:rPr>
                <w:sz w:val="20"/>
                <w:szCs w:val="20"/>
                <w:color w:val="auto"/>
              </w:rPr>
            </w:pPr>
          </w:p>
        </w:tc>
        <w:tc>
          <w:tcPr>
            <w:tcW w:w="5240" w:type="dxa"/>
            <w:vAlign w:val="bottom"/>
            <w:tcBorders>
              <w:bottom w:val="single" w:sz="8" w:color="00497F"/>
            </w:tcBorders>
          </w:tcPr>
          <w:p>
            <w:pPr>
              <w:ind w:left="60"/>
              <w:spacing w:after="0"/>
              <w:rPr>
                <w:sz w:val="20"/>
                <w:szCs w:val="20"/>
                <w:color w:val="auto"/>
              </w:rPr>
            </w:pPr>
            <w:r>
              <w:rPr>
                <w:rFonts w:ascii="Arial" w:cs="Arial" w:eastAsia="Arial" w:hAnsi="Arial"/>
                <w:sz w:val="18"/>
                <w:szCs w:val="18"/>
                <w:color w:val="auto"/>
              </w:rPr>
              <w:t>Total</w:t>
            </w:r>
          </w:p>
        </w:tc>
        <w:tc>
          <w:tcPr>
            <w:tcW w:w="3060" w:type="dxa"/>
            <w:vAlign w:val="bottom"/>
            <w:tcBorders>
              <w:bottom w:val="single" w:sz="8" w:color="00497F"/>
            </w:tcBorders>
          </w:tcPr>
          <w:p>
            <w:pPr>
              <w:spacing w:after="0"/>
              <w:rPr>
                <w:sz w:val="20"/>
                <w:szCs w:val="20"/>
                <w:color w:val="auto"/>
              </w:rPr>
            </w:pPr>
          </w:p>
        </w:tc>
        <w:tc>
          <w:tcPr>
            <w:tcW w:w="1120" w:type="dxa"/>
            <w:vAlign w:val="bottom"/>
            <w:tcBorders>
              <w:bottom w:val="single" w:sz="8" w:color="00497F"/>
            </w:tcBorders>
          </w:tcPr>
          <w:p>
            <w:pPr>
              <w:spacing w:after="0"/>
              <w:rPr>
                <w:sz w:val="20"/>
                <w:szCs w:val="20"/>
                <w:color w:val="auto"/>
              </w:rPr>
            </w:pPr>
          </w:p>
        </w:tc>
        <w:tc>
          <w:tcPr>
            <w:tcW w:w="340" w:type="dxa"/>
            <w:vAlign w:val="bottom"/>
            <w:tcBorders>
              <w:bottom w:val="single" w:sz="8" w:color="00497F"/>
            </w:tcBorders>
          </w:tcPr>
          <w:p>
            <w:pPr>
              <w:jc w:val="center"/>
              <w:ind w:left="5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00497F"/>
            </w:tcBorders>
          </w:tcPr>
          <w:p>
            <w:pPr>
              <w:jc w:val="right"/>
              <w:spacing w:after="0"/>
              <w:rPr>
                <w:sz w:val="20"/>
                <w:szCs w:val="20"/>
                <w:color w:val="auto"/>
              </w:rPr>
            </w:pPr>
            <w:r>
              <w:rPr>
                <w:rFonts w:ascii="Arial" w:cs="Arial" w:eastAsia="Arial" w:hAnsi="Arial"/>
                <w:sz w:val="16"/>
                <w:szCs w:val="16"/>
                <w:color w:val="auto"/>
              </w:rPr>
              <w:t>5,965,094</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460" w:hanging="434"/>
        <w:spacing w:after="0"/>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Indicates party-in-interest to the Plan</w:t>
      </w:r>
    </w:p>
    <w:p>
      <w:pPr>
        <w:spacing w:after="0" w:line="32" w:lineRule="exact"/>
        <w:rPr>
          <w:sz w:val="20"/>
          <w:szCs w:val="20"/>
          <w:color w:val="auto"/>
        </w:rPr>
      </w:pPr>
    </w:p>
    <w:p>
      <w:pPr>
        <w:ind w:left="460" w:hanging="434"/>
        <w:spacing w:after="0"/>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Not applicable - Historical cost information is not required to be presented, as all investments are participant-directed.</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31" w:lineRule="exact"/>
        <w:rPr>
          <w:rFonts w:ascii="Arial" w:cs="Arial" w:eastAsia="Arial" w:hAnsi="Arial"/>
          <w:sz w:val="16"/>
          <w:szCs w:val="16"/>
          <w:color w:val="auto"/>
        </w:rPr>
      </w:pPr>
    </w:p>
    <w:p>
      <w:pPr>
        <w:ind w:left="5580" w:hanging="118"/>
        <w:spacing w:after="0"/>
        <w:tabs>
          <w:tab w:leader="none" w:pos="5580" w:val="left"/>
        </w:tabs>
        <w:numPr>
          <w:ilvl w:val="1"/>
          <w:numId w:val="10"/>
        </w:numPr>
        <w:rPr>
          <w:rFonts w:ascii="Arial" w:cs="Arial" w:eastAsia="Arial" w:hAnsi="Arial"/>
          <w:sz w:val="18"/>
          <w:szCs w:val="18"/>
          <w:color w:val="2B4C9B"/>
        </w:rPr>
      </w:pPr>
      <w:r>
        <w:rPr>
          <w:rFonts w:ascii="Arial" w:cs="Arial" w:eastAsia="Arial" w:hAnsi="Arial"/>
          <w:sz w:val="18"/>
          <w:szCs w:val="18"/>
          <w:color w:val="2B4C9B"/>
        </w:rPr>
        <w:t>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2B4C9B"/>
        </w:rPr>
        <w:t>SIGNATURE</w:t>
      </w:r>
    </w:p>
    <w:p>
      <w:pPr>
        <w:spacing w:after="0" w:line="252"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the Science Applications International Corporation Benefit Plans Committee has duly caused this annual report to be signed on its behalf by the undersigned hereunto duly authorized.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By: Science Applications International Corporation Benefit Plans Committee</w:t>
      </w:r>
    </w:p>
    <w:p>
      <w:pPr>
        <w:spacing w:after="0" w:line="387" w:lineRule="exact"/>
        <w:rPr>
          <w:sz w:val="20"/>
          <w:szCs w:val="20"/>
          <w:color w:val="auto"/>
        </w:rPr>
      </w:pPr>
    </w:p>
    <w:p>
      <w:pPr>
        <w:ind w:left="40"/>
        <w:spacing w:after="0"/>
        <w:tabs>
          <w:tab w:leader="none" w:pos="7500" w:val="left"/>
        </w:tabs>
        <w:rPr>
          <w:sz w:val="20"/>
          <w:szCs w:val="20"/>
          <w:color w:val="auto"/>
        </w:rPr>
      </w:pPr>
      <w:r>
        <w:rPr>
          <w:rFonts w:ascii="Arial" w:cs="Arial" w:eastAsia="Arial" w:hAnsi="Arial"/>
          <w:sz w:val="18"/>
          <w:szCs w:val="18"/>
          <w:color w:val="auto"/>
        </w:rPr>
        <w:t>Date: June 17, 2026</w:t>
      </w:r>
      <w:r>
        <w:rPr>
          <w:sz w:val="20"/>
          <w:szCs w:val="20"/>
          <w:color w:val="auto"/>
        </w:rPr>
        <w:tab/>
      </w:r>
      <w:r>
        <w:rPr>
          <w:rFonts w:ascii="Arial" w:cs="Arial" w:eastAsia="Arial" w:hAnsi="Arial"/>
          <w:sz w:val="17"/>
          <w:szCs w:val="17"/>
          <w:color w:val="auto"/>
        </w:rPr>
        <w:t>/s/ Paul C. Lehrer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3322320</wp:posOffset>
            </wp:positionH>
            <wp:positionV relativeFrom="paragraph">
              <wp:posOffset>17780</wp:posOffset>
            </wp:positionV>
            <wp:extent cx="380619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806190" cy="8255"/>
                    </a:xfrm>
                    <a:prstGeom prst="rect">
                      <a:avLst/>
                    </a:prstGeom>
                    <a:noFill/>
                  </pic:spPr>
                </pic:pic>
              </a:graphicData>
            </a:graphic>
          </wp:anchor>
        </w:drawing>
      </w:r>
    </w:p>
    <w:p>
      <w:pPr>
        <w:spacing w:after="0" w:line="16" w:lineRule="exact"/>
        <w:rPr>
          <w:sz w:val="20"/>
          <w:szCs w:val="20"/>
          <w:color w:val="auto"/>
        </w:rPr>
      </w:pPr>
    </w:p>
    <w:p>
      <w:pPr>
        <w:jc w:val="center"/>
        <w:ind w:left="5200"/>
        <w:spacing w:after="0"/>
        <w:rPr>
          <w:sz w:val="20"/>
          <w:szCs w:val="20"/>
          <w:color w:val="auto"/>
        </w:rPr>
      </w:pPr>
      <w:r>
        <w:rPr>
          <w:rFonts w:ascii="Arial" w:cs="Arial" w:eastAsia="Arial" w:hAnsi="Arial"/>
          <w:sz w:val="18"/>
          <w:szCs w:val="18"/>
          <w:b w:val="1"/>
          <w:bCs w:val="1"/>
          <w:color w:val="auto"/>
        </w:rPr>
        <w:t>Paul C. Lehrer</w:t>
      </w:r>
    </w:p>
    <w:p>
      <w:pPr>
        <w:spacing w:after="0" w:line="40" w:lineRule="exact"/>
        <w:rPr>
          <w:sz w:val="20"/>
          <w:szCs w:val="20"/>
          <w:color w:val="auto"/>
        </w:rPr>
      </w:pPr>
    </w:p>
    <w:p>
      <w:pPr>
        <w:jc w:val="center"/>
        <w:ind w:left="5200"/>
        <w:spacing w:after="0"/>
        <w:rPr>
          <w:sz w:val="20"/>
          <w:szCs w:val="20"/>
          <w:color w:val="auto"/>
        </w:rPr>
      </w:pPr>
      <w:r>
        <w:rPr>
          <w:rFonts w:ascii="Arial" w:cs="Arial" w:eastAsia="Arial" w:hAnsi="Arial"/>
          <w:sz w:val="18"/>
          <w:szCs w:val="18"/>
          <w:b w:val="1"/>
          <w:bCs w:val="1"/>
          <w:color w:val="auto"/>
        </w:rPr>
        <w:t>Authorized Official</w:t>
      </w:r>
    </w:p>
    <w:p>
      <w:pPr>
        <w:spacing w:after="0" w:line="23" w:lineRule="exact"/>
        <w:rPr>
          <w:sz w:val="20"/>
          <w:szCs w:val="20"/>
          <w:color w:val="auto"/>
        </w:rPr>
      </w:pPr>
    </w:p>
    <w:p>
      <w:pPr>
        <w:jc w:val="center"/>
        <w:ind w:left="5200"/>
        <w:spacing w:after="0"/>
        <w:rPr>
          <w:sz w:val="20"/>
          <w:szCs w:val="20"/>
          <w:color w:val="auto"/>
        </w:rPr>
      </w:pPr>
      <w:r>
        <w:rPr>
          <w:rFonts w:ascii="Arial" w:cs="Arial" w:eastAsia="Arial" w:hAnsi="Arial"/>
          <w:sz w:val="18"/>
          <w:szCs w:val="18"/>
          <w:b w:val="1"/>
          <w:bCs w:val="1"/>
          <w:color w:val="auto"/>
        </w:rPr>
        <w:t>Science Applications International Corporation</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2B4C9B"/>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1" w:name="page12"/>
    <w:bookmarkEnd w:id="11"/>
    <w:p>
      <w:pPr>
        <w:ind w:left="4860"/>
        <w:spacing w:after="0"/>
        <w:rPr>
          <w:sz w:val="20"/>
          <w:szCs w:val="20"/>
          <w:color w:val="auto"/>
        </w:rPr>
      </w:pPr>
      <w:r>
        <w:rPr>
          <w:rFonts w:ascii="Arial" w:cs="Arial" w:eastAsia="Arial" w:hAnsi="Arial"/>
          <w:sz w:val="17"/>
          <w:szCs w:val="17"/>
          <w:b w:val="1"/>
          <w:bCs w:val="1"/>
          <w:color w:val="2B4C9B"/>
        </w:rPr>
        <w:t>Exhibit Index</w:t>
      </w:r>
    </w:p>
    <w:p>
      <w:pPr>
        <w:spacing w:after="0" w:line="399"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2B4C9B"/>
        </w:rPr>
        <w:t>Exhibit No.</w:t>
      </w:r>
      <w:r>
        <w:rPr>
          <w:sz w:val="20"/>
          <w:szCs w:val="20"/>
          <w:color w:val="auto"/>
        </w:rPr>
        <w:tab/>
      </w:r>
      <w:r>
        <w:rPr>
          <w:rFonts w:ascii="Arial" w:cs="Arial" w:eastAsia="Arial" w:hAnsi="Arial"/>
          <w:sz w:val="17"/>
          <w:szCs w:val="17"/>
          <w:b w:val="1"/>
          <w:bCs w:val="1"/>
          <w:color w:val="2B4C9B"/>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-78740</wp:posOffset>
            </wp:positionH>
            <wp:positionV relativeFrom="paragraph">
              <wp:posOffset>17780</wp:posOffset>
            </wp:positionV>
            <wp:extent cx="704659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46595" cy="8255"/>
                    </a:xfrm>
                    <a:prstGeom prst="rect">
                      <a:avLst/>
                    </a:prstGeom>
                    <a:noFill/>
                  </pic:spPr>
                </pic:pic>
              </a:graphicData>
            </a:graphic>
          </wp:anchor>
        </w:drawing>
      </w:r>
    </w:p>
    <w:p>
      <w:pPr>
        <w:spacing w:after="0" w:line="57"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u w:val="single" w:color="auto"/>
          <w:color w:val="2B4C9B"/>
        </w:rPr>
        <w:t>23.1</w:t>
      </w:r>
      <w:r>
        <w:rPr>
          <w:sz w:val="20"/>
          <w:szCs w:val="20"/>
          <w:color w:val="auto"/>
        </w:rPr>
        <w:tab/>
      </w:r>
      <w:r>
        <w:rPr>
          <w:rFonts w:ascii="Arial" w:cs="Arial" w:eastAsia="Arial" w:hAnsi="Arial"/>
          <w:sz w:val="17"/>
          <w:szCs w:val="17"/>
          <w:u w:val="single" w:color="auto"/>
          <w:color w:val="2B4C9B"/>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220"/>
        <w:spacing w:after="0"/>
        <w:rPr>
          <w:sz w:val="20"/>
          <w:szCs w:val="20"/>
          <w:color w:val="auto"/>
        </w:rPr>
      </w:pPr>
      <w:r>
        <w:rPr>
          <w:rFonts w:ascii="Arial" w:cs="Arial" w:eastAsia="Arial" w:hAnsi="Arial"/>
          <w:sz w:val="18"/>
          <w:szCs w:val="18"/>
          <w:color w:val="2B4C9B"/>
        </w:rPr>
        <w:t>- 10 -</w:t>
      </w:r>
    </w:p>
    <w:p>
      <w:pPr>
        <w:sectPr>
          <w:pgSz w:w="11900" w:h="16838" w:orient="portrait"/>
          <w:cols w:equalWidth="0" w:num="1">
            <w:col w:w="9939"/>
          </w:cols>
          <w:pgMar w:left="520" w:top="931" w:right="1440" w:bottom="1440" w:gutter="0" w:footer="0" w:header="0"/>
        </w:sectPr>
      </w:pPr>
    </w:p>
    <w:bookmarkStart w:id="12" w:name="page13"/>
    <w:bookmarkEnd w:id="12"/>
    <w:p>
      <w:pPr>
        <w:jc w:val="right"/>
        <w:spacing w:after="0"/>
        <w:rPr>
          <w:sz w:val="20"/>
          <w:szCs w:val="20"/>
          <w:color w:val="auto"/>
        </w:rPr>
      </w:pPr>
      <w:r>
        <w:rPr>
          <w:rFonts w:ascii="Arial" w:cs="Arial" w:eastAsia="Arial" w:hAnsi="Arial"/>
          <w:sz w:val="18"/>
          <w:szCs w:val="18"/>
          <w:b w:val="1"/>
          <w:bCs w:val="1"/>
          <w:color w:val="010202"/>
        </w:rPr>
        <w:t>Exhibit 23.1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10202"/>
        </w:rPr>
        <w:t>CONSENT OF INDEPENDENT REGISTERED PUBLIC ACCOUNTING FIRM</w:t>
      </w:r>
    </w:p>
    <w:p>
      <w:pPr>
        <w:spacing w:after="0" w:line="23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have issued our report dated June 17, 2026, with respect to the financial statements and supplemental information included in the Annual Report of Science Applications International Corporation Retirement Plan on Form 11-K for the year ended December 31, 2025. We consent to the incorporation by reference of said report in the Registration Statement of Science Applications International Corporation on Form S-8 (File No. 333-191436).</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010202"/>
        </w:rPr>
        <w:t>/s/ Grant Thornton LLP</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010202"/>
        </w:rPr>
        <w:t>Tulsa, Oklahoma</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010202"/>
        </w:rPr>
        <w:t>June 17, 2026</w:t>
      </w:r>
    </w:p>
    <w:sectPr>
      <w:pgSz w:w="11900" w:h="16838" w:orient="portrait"/>
      <w:cols w:equalWidth="0" w:num="1">
        <w:col w:w="11240"/>
      </w:cols>
      <w:pgMar w:left="320" w:top="93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x"/>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1."/>
      <w:numFmt w:val="upperLetter"/>
      <w:start w:val="2"/>
    </w:lvl>
  </w:abstractNum>
  <w:abstractNum w:abstractNumId="3">
    <w:nsid w:val="41B71EFB"/>
    <w:multiLevelType w:val="hybridMultilevel"/>
    <w:lvl w:ilvl="0">
      <w:lvlJc w:val="left"/>
      <w:lvlText w:val="%1."/>
      <w:numFmt w:val="decimal"/>
      <w:start w:val="1"/>
    </w:lvl>
  </w:abstractNum>
  <w:abstractNum w:abstractNumId="4">
    <w:nsid w:val="79E2A9E3"/>
    <w:multiLevelType w:val="hybridMultilevel"/>
    <w:lvl w:ilvl="0">
      <w:lvlJc w:val="left"/>
      <w:lvlText w:val="%1."/>
      <w:numFmt w:val="decimal"/>
      <w:start w:val="4"/>
    </w:lvl>
  </w:abstractNum>
  <w:abstractNum w:abstractNumId="5">
    <w:nsid w:val="7545E146"/>
    <w:multiLevelType w:val="hybridMultilevel"/>
    <w:lvl w:ilvl="0">
      <w:lvlJc w:val="left"/>
      <w:lvlText w:val="%1."/>
      <w:numFmt w:val="decimal"/>
      <w:start w:val="5"/>
    </w:lvl>
  </w:abstractNum>
  <w:abstractNum w:abstractNumId="6">
    <w:nsid w:val="515F007C"/>
    <w:multiLevelType w:val="hybridMultilevel"/>
    <w:lvl w:ilvl="0">
      <w:lvlJc w:val="left"/>
      <w:lvlText w:val="%1."/>
      <w:numFmt w:val="decimal"/>
      <w:start w:val="6"/>
    </w:lvl>
  </w:abstractNum>
  <w:abstractNum w:abstractNumId="7">
    <w:nsid w:val="5BD062C2"/>
    <w:multiLevelType w:val="hybridMultilevel"/>
    <w:lvl w:ilvl="0">
      <w:lvlJc w:val="left"/>
      <w:lvlText w:val="%1."/>
      <w:numFmt w:val="decimal"/>
      <w:start w:val="7"/>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2026-06-17T14:53:21Z</dcterms:created>
  <dcterms:modified xsi:type="dcterms:W3CDTF">2026-06-17T14:53:21Z</dcterms:modified>
</cp:coreProperties>
</file>