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542290</wp:posOffset>
            </wp:positionH>
            <wp:positionV relativeFrom="page">
              <wp:posOffset>457835</wp:posOffset>
            </wp:positionV>
            <wp:extent cx="6471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423545</wp:posOffset>
            </wp:positionV>
            <wp:extent cx="6471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1920" cy="8255"/>
                    </a:xfrm>
                    <a:prstGeom prst="rect">
                      <a:avLst/>
                    </a:prstGeom>
                    <a:noFill/>
                  </pic:spPr>
                </pic:pic>
              </a:graphicData>
            </a:graphic>
          </wp:anchor>
        </w:drawing>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8-K</w:t>
      </w:r>
    </w:p>
    <w:p>
      <w:pPr>
        <w:spacing w:after="0" w:line="14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16, 2026</w:t>
      </w:r>
    </w:p>
    <w:p>
      <w:pPr>
        <w:spacing w:after="0" w:line="2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Science Applications International Corporation</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11240"/>
          </w:cols>
          <w:pgMar w:left="320" w:top="800" w:right="339" w:bottom="1440" w:gutter="0" w:footer="0" w:header="0"/>
        </w:sectPr>
      </w:pPr>
    </w:p>
    <w:p>
      <w:pPr>
        <w:spacing w:after="0" w:line="57"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900"/>
        <w:spacing w:after="0"/>
        <w:rPr>
          <w:sz w:val="20"/>
          <w:szCs w:val="20"/>
          <w:color w:val="auto"/>
        </w:rPr>
      </w:pPr>
      <w:r>
        <w:rPr>
          <w:rFonts w:ascii="Arial" w:cs="Arial" w:eastAsia="Arial" w:hAnsi="Arial"/>
          <w:sz w:val="17"/>
          <w:szCs w:val="17"/>
          <w:color w:val="auto"/>
        </w:rPr>
        <w:t>001-35832</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46-1932921</w:t>
      </w:r>
    </w:p>
    <w:p>
      <w:pPr>
        <w:spacing w:after="0" w:line="71" w:lineRule="exact"/>
        <w:rPr>
          <w:sz w:val="24"/>
          <w:szCs w:val="24"/>
          <w:color w:val="auto"/>
        </w:rPr>
      </w:pPr>
    </w:p>
    <w:p>
      <w:pPr>
        <w:sectPr>
          <w:pgSz w:w="11900" w:h="16838" w:orient="portrait"/>
          <w:cols w:equalWidth="0" w:num="3">
            <w:col w:w="4560" w:space="720"/>
            <w:col w:w="2760" w:space="720"/>
            <w:col w:w="2480"/>
          </w:cols>
          <w:pgMar w:left="320" w:top="800" w:right="339" w:bottom="1440" w:gutter="0" w:footer="0" w:header="0"/>
          <w:type w:val="continuous"/>
        </w:sectPr>
      </w:pPr>
    </w:p>
    <w:p>
      <w:pPr>
        <w:jc w:val="center"/>
        <w:ind w:right="340"/>
        <w:spacing w:after="0"/>
        <w:rPr>
          <w:sz w:val="20"/>
          <w:szCs w:val="20"/>
          <w:color w:val="auto"/>
        </w:rPr>
      </w:pPr>
      <w:r>
        <w:rPr>
          <w:rFonts w:ascii="Arial" w:cs="Arial" w:eastAsia="Arial" w:hAnsi="Arial"/>
          <w:sz w:val="14"/>
          <w:szCs w:val="14"/>
          <w:b w:val="1"/>
          <w:bCs w:val="1"/>
          <w:color w:val="auto"/>
        </w:rPr>
        <w:t>(State or other Jurisdiction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spacing w:after="0" w:line="2"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jc w:val="center"/>
        <w:ind w:right="140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40" w:space="720"/>
            <w:col w:w="2640" w:space="720"/>
            <w:col w:w="2620"/>
          </w:cols>
          <w:pgMar w:left="320" w:top="800"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12010 Sunset Hills Road, Reston, VA 20190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(703) 676-4300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800" w:right="339" w:bottom="1440" w:gutter="0" w:footer="0" w:header="0"/>
          <w:type w:val="continuous"/>
        </w:sectPr>
      </w:pP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340" w:right="1760" w:hanging="3314"/>
        <w:spacing w:after="0" w:line="396" w:lineRule="auto"/>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7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1"/>
                <w:szCs w:val="21"/>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SAIC</w:t>
            </w:r>
          </w:p>
        </w:tc>
        <w:tc>
          <w:tcPr>
            <w:tcW w:w="5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8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85725</wp:posOffset>
            </wp:positionV>
            <wp:extent cx="647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51435</wp:posOffset>
            </wp:positionV>
            <wp:extent cx="6471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i w:val="1"/>
          <w:iCs w:val="1"/>
          <w:color w:val="auto"/>
        </w:rPr>
        <w:t>Results of Operations and Financial Condition</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On March 16, 2026, Science Applications International Corporation issued a press release announcing its financial results for the fourth fiscal quarter and full fiscal year ended January 30, 2026. A copy of the press release is furnished as Exhibit 99.1 to this report.</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management will discuss operations and financial results in an earnings conference call beginning at 10:00 a.m. Eastern time on March 16, 2026. A live audio broadcast of the conference call along with a supplemental presentation will be available to the public through links on the Investor Relations section of the Company’s website (http://investors.saic.com).</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information contained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Exhibit</w:t>
            </w:r>
          </w:p>
        </w:tc>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1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6"/>
                <w:szCs w:val="16"/>
                <w:color w:val="auto"/>
              </w:rPr>
            </w:pPr>
          </w:p>
        </w:tc>
        <w:tc>
          <w:tcPr>
            <w:tcW w:w="8520" w:type="dxa"/>
            <w:vAlign w:val="bottom"/>
            <w:tcBorders>
              <w:bottom w:val="single" w:sz="8" w:color="auto"/>
            </w:tcBorders>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center"/>
              <w:spacing w:after="0"/>
              <w:rPr>
                <w:sz w:val="20"/>
                <w:szCs w:val="20"/>
                <w:color w:val="auto"/>
              </w:rPr>
            </w:pPr>
            <w:r>
              <w:rPr>
                <w:rFonts w:ascii="Arial" w:cs="Arial" w:eastAsia="Arial" w:hAnsi="Arial"/>
                <w:sz w:val="18"/>
                <w:szCs w:val="18"/>
                <w:color w:val="2B4C9B"/>
              </w:rPr>
              <w:t>99.</w:t>
            </w:r>
            <w:r>
              <w:rPr>
                <w:rFonts w:ascii="Arial" w:cs="Arial" w:eastAsia="Arial" w:hAnsi="Arial"/>
                <w:sz w:val="18"/>
                <w:szCs w:val="18"/>
                <w:u w:val="single" w:color="auto"/>
                <w:color w:val="2B4C9B"/>
              </w:rPr>
              <w:t>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Press Release dated March 16, 2026</w:t>
            </w:r>
          </w:p>
        </w:tc>
        <w:tc>
          <w:tcPr>
            <w:tcW w:w="0" w:type="dxa"/>
            <w:vAlign w:val="bottom"/>
          </w:tcPr>
          <w:p>
            <w:pPr>
              <w:spacing w:after="0"/>
              <w:rPr>
                <w:sz w:val="1"/>
                <w:szCs w:val="1"/>
                <w:color w:val="auto"/>
              </w:rPr>
            </w:pPr>
          </w:p>
        </w:tc>
      </w:tr>
      <w:tr>
        <w:trPr>
          <w:trHeight w:val="335"/>
        </w:trPr>
        <w:tc>
          <w:tcPr>
            <w:tcW w:w="200" w:type="dxa"/>
            <w:vAlign w:val="bottom"/>
          </w:tcPr>
          <w:p>
            <w:pPr>
              <w:spacing w:after="0"/>
              <w:rPr>
                <w:sz w:val="24"/>
                <w:szCs w:val="24"/>
                <w:color w:val="auto"/>
              </w:rPr>
            </w:pPr>
          </w:p>
        </w:tc>
        <w:tc>
          <w:tcPr>
            <w:tcW w:w="340" w:type="dxa"/>
            <w:vAlign w:val="bottom"/>
            <w:tcBorders>
              <w:top w:val="single" w:sz="8" w:color="2B4C9B"/>
            </w:tcBorders>
          </w:tcPr>
          <w:p>
            <w:pPr>
              <w:jc w:val="right"/>
              <w:spacing w:after="0"/>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The cover page from this Current Report on Form 8-K, formatted as Inline XBRL</w:t>
            </w:r>
          </w:p>
        </w:tc>
        <w:tc>
          <w:tcPr>
            <w:tcW w:w="0" w:type="dxa"/>
            <w:vAlign w:val="bottom"/>
          </w:tcPr>
          <w:p>
            <w:pPr>
              <w:spacing w:after="0"/>
              <w:rPr>
                <w:sz w:val="1"/>
                <w:szCs w:val="1"/>
                <w:color w:val="auto"/>
              </w:rPr>
            </w:pPr>
          </w:p>
        </w:tc>
      </w:tr>
      <w:tr>
        <w:trPr>
          <w:trHeight w:val="557"/>
        </w:trPr>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34925</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0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Hilary L. Hageman</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Executive Vice President, General Counsel and</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Corporate Secretary</w:t>
      </w:r>
    </w:p>
    <w:p>
      <w:pPr>
        <w:sectPr>
          <w:pgSz w:w="11900" w:h="16838" w:orient="portrait"/>
          <w:cols w:equalWidth="0" w:num="1">
            <w:col w:w="11120"/>
          </w:cols>
          <w:pgMar w:left="320" w:top="553" w:right="459" w:bottom="1440" w:gutter="0" w:footer="0" w:header="0"/>
        </w:sectPr>
      </w:pPr>
    </w:p>
    <w:bookmarkStart w:id="3" w:name="page4"/>
    <w:bookmarkEnd w:id="3"/>
    <w:p>
      <w:pPr>
        <w:ind w:left="10240"/>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SAIC Announces Fourth Quarter and Full Fiscal Year 2026 Results</w:t>
      </w:r>
    </w:p>
    <w:p>
      <w:pPr>
        <w:spacing w:after="0" w:line="19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strike w:val="1"/>
        </w:rPr>
      </w:pPr>
      <w:r>
        <w:rPr>
          <w:rFonts w:ascii="Arial" w:cs="Arial" w:eastAsia="Arial" w:hAnsi="Arial"/>
          <w:sz w:val="18"/>
          <w:szCs w:val="18"/>
          <w:b w:val="1"/>
          <w:bCs w:val="1"/>
          <w:i w:val="1"/>
          <w:iCs w:val="1"/>
          <w:color w:val="auto"/>
        </w:rPr>
        <w:t>Q4 FY26 revenues of $1.75 billion; FY26 revenues of $7.26 billion</w:t>
      </w:r>
    </w:p>
    <w:p>
      <w:pPr>
        <w:spacing w:after="0" w:line="90" w:lineRule="exact"/>
        <w:rPr>
          <w:rFonts w:ascii="Arial" w:cs="Arial" w:eastAsia="Arial" w:hAnsi="Arial"/>
          <w:sz w:val="18"/>
          <w:szCs w:val="18"/>
          <w:b w:val="1"/>
          <w:bCs w:val="1"/>
          <w:i w:val="1"/>
          <w:iCs w:val="1"/>
          <w:color w:val="auto"/>
          <w:strike w:val="1"/>
        </w:rPr>
      </w:pPr>
    </w:p>
    <w:p>
      <w:pPr>
        <w:ind w:left="660" w:right="40" w:hanging="328"/>
        <w:spacing w:after="0" w:line="245" w:lineRule="auto"/>
        <w:tabs>
          <w:tab w:leader="none" w:pos="65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FY26 net income of $85 million, adjusted EBITDA</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$181 million or 10.3% of revenue; FY26 net income of $358 million, adjusted EBITDA</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$708 million or 9.7% of revenue</w:t>
      </w:r>
    </w:p>
    <w:p>
      <w:pPr>
        <w:spacing w:after="0" w:line="1" w:lineRule="exact"/>
        <w:rPr>
          <w:rFonts w:ascii="Arial" w:cs="Arial" w:eastAsia="Arial" w:hAnsi="Arial"/>
          <w:sz w:val="18"/>
          <w:szCs w:val="18"/>
          <w:b w:val="1"/>
          <w:bCs w:val="1"/>
          <w:i w:val="1"/>
          <w:iCs w:val="1"/>
          <w:color w:val="auto"/>
        </w:rPr>
      </w:pPr>
    </w:p>
    <w:p>
      <w:pPr>
        <w:ind w:left="660" w:right="20" w:hanging="328"/>
        <w:spacing w:after="0" w:line="232" w:lineRule="auto"/>
        <w:tabs>
          <w:tab w:leader="none" w:pos="65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FY26 diluted earnings per share of $1.87, adjusted diluted earnings per share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$2.62; FY26 diluted earnings per share of $7.70, adjusted diluted earnings per share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$10.75</w:t>
      </w:r>
    </w:p>
    <w:p>
      <w:pPr>
        <w:spacing w:after="0" w:line="1" w:lineRule="exact"/>
        <w:rPr>
          <w:rFonts w:ascii="Arial" w:cs="Arial" w:eastAsia="Arial" w:hAnsi="Arial"/>
          <w:sz w:val="18"/>
          <w:szCs w:val="18"/>
          <w:b w:val="1"/>
          <w:bCs w:val="1"/>
          <w:i w:val="1"/>
          <w:iCs w:val="1"/>
          <w:color w:val="auto"/>
        </w:rPr>
      </w:pPr>
    </w:p>
    <w:p>
      <w:pPr>
        <w:ind w:left="660" w:right="620" w:hanging="328"/>
        <w:spacing w:after="0" w:line="238" w:lineRule="auto"/>
        <w:tabs>
          <w:tab w:leader="none" w:pos="65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FY26 cash flows provided by operating activities of $258 million, free cash flow</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$336 million; FY26 cash flows provided by operating activities of $609 million, free cash flow</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$577 million</w:t>
      </w:r>
    </w:p>
    <w:p>
      <w:pPr>
        <w:spacing w:after="0" w:line="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Q4 FY26 net bookings of $0.6 billion; book-to-bill ratio of 0.3; trailing twelve months book-to-bill ratio of 1.1</w:t>
      </w:r>
    </w:p>
    <w:p>
      <w:pPr>
        <w:spacing w:after="0" w:line="84" w:lineRule="exact"/>
        <w:rPr>
          <w:rFonts w:ascii="Arial" w:cs="Arial" w:eastAsia="Arial" w:hAnsi="Arial"/>
          <w:sz w:val="18"/>
          <w:szCs w:val="18"/>
          <w:b w:val="1"/>
          <w:bCs w:val="1"/>
          <w:i w:val="1"/>
          <w:iCs w:val="1"/>
          <w:color w:val="auto"/>
        </w:rPr>
      </w:pPr>
    </w:p>
    <w:p>
      <w:pPr>
        <w:ind w:left="660" w:right="280" w:hanging="328"/>
        <w:spacing w:after="0" w:line="243" w:lineRule="auto"/>
        <w:tabs>
          <w:tab w:leader="none" w:pos="65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Announces FY27 guidance for adjusted diluted earnings per share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and reiterates revenue, adjusted EBITDA</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adjusted EBITDA margin</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and free cash flow</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guidance</w:t>
      </w:r>
    </w:p>
    <w:p>
      <w:pPr>
        <w:spacing w:after="0" w:line="3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RESTON, VA, March 16, 2026—Science Applications International Corporation (NASDAQ: SAIC), a premier Fortune 500 technology integrator driving our nation's digital transformation across the defense, space, civilian, and intelligence markets, today announced results for the fourth quarter and full fiscal year ended January 30, 2026.</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previously announced on February 11, our fourth-quarter results reflected ongoing top-line challenges, balanced by strong operational execution that supports our ability to raise margin expectations moving forward," said Jim Reagan, SAIC’s Chief Executive Officer. "I am encouraged by the progress we are making and by the opportunities in front of us. Our plan is simple – we will focus on elements within our control to drive more consistent and reliable growth. With a career dedicated to operational excellence and value creation in our industry, I am honored to continue, as permanent CEO, building on SAIC’s solid foundation to deliver meaningful results to all stakeholders."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Full Fiscal Year 2026: Summary Operating Results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rPr>
              <w:t>January 30,</w:t>
            </w:r>
          </w:p>
        </w:tc>
        <w:tc>
          <w:tcPr>
            <w:tcW w:w="1040" w:type="dxa"/>
            <w:vAlign w:val="bottom"/>
          </w:tcPr>
          <w:p>
            <w:pPr>
              <w:jc w:val="center"/>
              <w:ind w:right="63"/>
              <w:spacing w:after="0" w:line="147" w:lineRule="exact"/>
              <w:rPr>
                <w:sz w:val="20"/>
                <w:szCs w:val="20"/>
                <w:color w:val="auto"/>
              </w:rPr>
            </w:pPr>
            <w:r>
              <w:rPr>
                <w:rFonts w:ascii="Arial" w:cs="Arial" w:eastAsia="Arial" w:hAnsi="Arial"/>
                <w:sz w:val="14"/>
                <w:szCs w:val="14"/>
                <w:i w:val="1"/>
                <w:iCs w:val="1"/>
                <w:color w:val="auto"/>
              </w:rPr>
              <w:t>Percent</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color w:val="auto"/>
              </w:rPr>
              <w:t>January 31, 2025</w:t>
            </w: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January 30, 2026</w:t>
            </w:r>
          </w:p>
        </w:tc>
        <w:tc>
          <w:tcPr>
            <w:tcW w:w="94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Percent</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color w:val="auto"/>
              </w:rPr>
              <w:t>January 31, 2025</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2026</w:t>
            </w: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i w:val="1"/>
                <w:iCs w:val="1"/>
                <w:color w:val="auto"/>
              </w:rPr>
              <w:t>change</w:t>
            </w:r>
          </w:p>
        </w:tc>
        <w:tc>
          <w:tcPr>
            <w:tcW w:w="126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change</w:t>
            </w: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6"/>
          </w:tcPr>
          <w:p>
            <w:pPr>
              <w:jc w:val="right"/>
              <w:ind w:right="803"/>
              <w:spacing w:after="0"/>
              <w:rPr>
                <w:sz w:val="20"/>
                <w:szCs w:val="20"/>
                <w:color w:val="auto"/>
              </w:rPr>
            </w:pPr>
            <w:r>
              <w:rPr>
                <w:rFonts w:ascii="Arial" w:cs="Arial" w:eastAsia="Arial" w:hAnsi="Arial"/>
                <w:sz w:val="14"/>
                <w:szCs w:val="14"/>
                <w:color w:val="auto"/>
              </w:rPr>
              <w:t>(dollars in millions, except per share amounts)</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1,750</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(5)%</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1,838</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7,262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36"/>
        </w:trPr>
        <w:tc>
          <w:tcPr>
            <w:tcW w:w="40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7"/>
              <w:spacing w:after="0"/>
              <w:rPr>
                <w:sz w:val="20"/>
                <w:szCs w:val="20"/>
                <w:color w:val="auto"/>
              </w:rPr>
            </w:pPr>
            <w:r>
              <w:rPr>
                <w:rFonts w:ascii="Arial" w:cs="Arial" w:eastAsia="Arial" w:hAnsi="Arial"/>
                <w:sz w:val="18"/>
                <w:szCs w:val="18"/>
                <w:b w:val="1"/>
                <w:bCs w:val="1"/>
                <w:color w:val="auto"/>
              </w:rPr>
              <w:t>133</w:t>
            </w:r>
          </w:p>
        </w:tc>
        <w:tc>
          <w:tcPr>
            <w:tcW w:w="1040" w:type="dxa"/>
            <w:vAlign w:val="bottom"/>
          </w:tcPr>
          <w:p>
            <w:pPr>
              <w:jc w:val="right"/>
              <w:ind w:right="3"/>
              <w:spacing w:after="0"/>
              <w:rPr>
                <w:sz w:val="20"/>
                <w:szCs w:val="20"/>
                <w:color w:val="auto"/>
              </w:rPr>
            </w:pPr>
            <w:r>
              <w:rPr>
                <w:rFonts w:ascii="Arial" w:cs="Arial" w:eastAsia="Arial" w:hAnsi="Arial"/>
                <w:sz w:val="16"/>
                <w:szCs w:val="16"/>
                <w:i w:val="1"/>
                <w:iCs w:val="1"/>
                <w:color w:val="auto"/>
              </w:rPr>
              <w:t>(4)%</w:t>
            </w:r>
          </w:p>
        </w:tc>
        <w:tc>
          <w:tcPr>
            <w:tcW w:w="360" w:type="dxa"/>
            <w:vAlign w:val="bottom"/>
          </w:tcPr>
          <w:p>
            <w:pPr>
              <w:spacing w:after="0"/>
              <w:rPr>
                <w:sz w:val="20"/>
                <w:szCs w:val="20"/>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0"/>
                <w:szCs w:val="20"/>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b w:val="1"/>
                <w:bCs w:val="1"/>
                <w:color w:val="auto"/>
              </w:rPr>
              <w:t>521</w:t>
            </w: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(7)%</w:t>
            </w:r>
          </w:p>
        </w:tc>
        <w:tc>
          <w:tcPr>
            <w:tcW w:w="380" w:type="dxa"/>
            <w:vAlign w:val="bottom"/>
          </w:tcPr>
          <w:p>
            <w:pPr>
              <w:spacing w:after="0"/>
              <w:rPr>
                <w:sz w:val="20"/>
                <w:szCs w:val="20"/>
                <w:color w:val="auto"/>
              </w:rPr>
            </w:pPr>
          </w:p>
        </w:tc>
        <w:tc>
          <w:tcPr>
            <w:tcW w:w="860" w:type="dxa"/>
            <w:vAlign w:val="bottom"/>
            <w:tcBorders>
              <w:right w:val="single" w:sz="8" w:color="auto"/>
            </w:tcBorders>
          </w:tcPr>
          <w:p>
            <w:pPr>
              <w:jc w:val="right"/>
              <w:ind w:right="135"/>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95"/>
        </w:trPr>
        <w:tc>
          <w:tcPr>
            <w:tcW w:w="4020" w:type="dxa"/>
            <w:vAlign w:val="bottom"/>
            <w:tcBorders>
              <w:left w:val="single" w:sz="8" w:color="auto"/>
            </w:tcBorders>
          </w:tcPr>
          <w:p>
            <w:pPr>
              <w:ind w:left="160"/>
              <w:spacing w:after="0"/>
              <w:rPr>
                <w:sz w:val="20"/>
                <w:szCs w:val="20"/>
                <w:color w:val="auto"/>
              </w:rPr>
            </w:pPr>
            <w:r>
              <w:rPr>
                <w:rFonts w:ascii="Arial" w:cs="Arial" w:eastAsia="Arial" w:hAnsi="Arial"/>
                <w:sz w:val="14"/>
                <w:szCs w:val="14"/>
                <w:i w:val="1"/>
                <w:iCs w:val="1"/>
                <w:color w:val="auto"/>
              </w:rPr>
              <w:t>Operating income as a percentage of revenues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17"/>
              <w:spacing w:after="0"/>
              <w:rPr>
                <w:sz w:val="20"/>
                <w:szCs w:val="20"/>
                <w:color w:val="auto"/>
              </w:rPr>
            </w:pPr>
            <w:r>
              <w:rPr>
                <w:rFonts w:ascii="Arial" w:cs="Arial" w:eastAsia="Arial" w:hAnsi="Arial"/>
                <w:sz w:val="14"/>
                <w:szCs w:val="14"/>
                <w:b w:val="1"/>
                <w:bCs w:val="1"/>
                <w:i w:val="1"/>
                <w:iCs w:val="1"/>
                <w:color w:val="auto"/>
              </w:rPr>
              <w:t>7.6 %</w:t>
            </w:r>
          </w:p>
        </w:tc>
        <w:tc>
          <w:tcPr>
            <w:tcW w:w="1040" w:type="dxa"/>
            <w:vAlign w:val="bottom"/>
          </w:tcPr>
          <w:p>
            <w:pPr>
              <w:jc w:val="right"/>
              <w:ind w:right="3"/>
              <w:spacing w:after="0"/>
              <w:rPr>
                <w:sz w:val="20"/>
                <w:szCs w:val="20"/>
                <w:color w:val="auto"/>
              </w:rPr>
            </w:pPr>
            <w:r>
              <w:rPr>
                <w:rFonts w:ascii="Arial" w:cs="Arial" w:eastAsia="Arial" w:hAnsi="Arial"/>
                <w:sz w:val="14"/>
                <w:szCs w:val="14"/>
                <w:i w:val="1"/>
                <w:iCs w:val="1"/>
                <w:color w:val="auto"/>
              </w:rPr>
              <w:t>10bps</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7.5 %</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7.2 %</w:t>
            </w: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-30bps</w:t>
            </w:r>
          </w:p>
        </w:tc>
        <w:tc>
          <w:tcPr>
            <w:tcW w:w="380" w:type="dxa"/>
            <w:vAlign w:val="bottom"/>
          </w:tcPr>
          <w:p>
            <w:pPr>
              <w:spacing w:after="0"/>
              <w:rPr>
                <w:sz w:val="16"/>
                <w:szCs w:val="16"/>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7.5 %</w:t>
            </w:r>
          </w:p>
        </w:tc>
        <w:tc>
          <w:tcPr>
            <w:tcW w:w="0" w:type="dxa"/>
            <w:vAlign w:val="bottom"/>
          </w:tcPr>
          <w:p>
            <w:pPr>
              <w:spacing w:after="0"/>
              <w:rPr>
                <w:sz w:val="1"/>
                <w:szCs w:val="1"/>
                <w:color w:val="auto"/>
              </w:rPr>
            </w:pPr>
          </w:p>
        </w:tc>
      </w:tr>
      <w:tr>
        <w:trPr>
          <w:trHeight w:val="230"/>
        </w:trPr>
        <w:tc>
          <w:tcPr>
            <w:tcW w:w="4020" w:type="dxa"/>
            <w:vAlign w:val="bottom"/>
            <w:tcBorders>
              <w:left w:val="single" w:sz="8" w:color="auto"/>
            </w:tcBorders>
            <w:shd w:val="clear" w:color="auto" w:fill="CCEEFF"/>
          </w:tcPr>
          <w:p>
            <w:pPr>
              <w:ind w:left="40"/>
              <w:spacing w:after="0" w:line="231"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179</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2 %</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702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 %</w:t>
            </w:r>
          </w:p>
        </w:tc>
        <w:tc>
          <w:tcPr>
            <w:tcW w:w="38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4"/>
                <w:szCs w:val="14"/>
                <w:i w:val="1"/>
                <w:iCs w:val="1"/>
                <w:color w:val="auto"/>
              </w:rPr>
              <w:t>Adjusted operating income as a percentage of revenues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i w:val="1"/>
                <w:iCs w:val="1"/>
                <w:color w:val="auto"/>
              </w:rPr>
              <w:t>10.2 %</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i w:val="1"/>
                <w:iCs w:val="1"/>
                <w:color w:val="auto"/>
              </w:rPr>
              <w:t>60bps</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9.6 %</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9.7 %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30bps</w:t>
            </w:r>
          </w:p>
        </w:tc>
        <w:tc>
          <w:tcPr>
            <w:tcW w:w="3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9.4 %</w:t>
            </w:r>
          </w:p>
        </w:tc>
        <w:tc>
          <w:tcPr>
            <w:tcW w:w="0" w:type="dxa"/>
            <w:vAlign w:val="bottom"/>
          </w:tcPr>
          <w:p>
            <w:pPr>
              <w:spacing w:after="0"/>
              <w:rPr>
                <w:sz w:val="1"/>
                <w:szCs w:val="1"/>
                <w:color w:val="auto"/>
              </w:rPr>
            </w:pPr>
          </w:p>
        </w:tc>
      </w:tr>
      <w:tr>
        <w:trPr>
          <w:trHeight w:val="230"/>
        </w:trPr>
        <w:tc>
          <w:tcPr>
            <w:tcW w:w="40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85</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i w:val="1"/>
                <w:iCs w:val="1"/>
                <w:color w:val="auto"/>
              </w:rPr>
              <w:t>(13)%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98</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358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tcBorders>
            <w:shd w:val="clear" w:color="auto" w:fill="CCEEFF"/>
          </w:tcPr>
          <w:p>
            <w:pPr>
              <w:ind w:left="40"/>
              <w:spacing w:after="0" w:line="223"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175</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 %</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676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38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4"/>
                <w:szCs w:val="14"/>
                <w:i w:val="1"/>
                <w:iCs w:val="1"/>
                <w:color w:val="auto"/>
              </w:rPr>
              <w:t>EBITDA as a percentage of revenues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i w:val="1"/>
                <w:iCs w:val="1"/>
                <w:color w:val="auto"/>
              </w:rPr>
              <w:t>10.0 %</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i w:val="1"/>
                <w:iCs w:val="1"/>
                <w:color w:val="auto"/>
              </w:rPr>
              <w:t>50bps</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9.5 %</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9.3 %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-20bps</w:t>
            </w:r>
          </w:p>
        </w:tc>
        <w:tc>
          <w:tcPr>
            <w:tcW w:w="3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9.5 %</w:t>
            </w:r>
          </w:p>
        </w:tc>
        <w:tc>
          <w:tcPr>
            <w:tcW w:w="0" w:type="dxa"/>
            <w:vAlign w:val="bottom"/>
          </w:tcPr>
          <w:p>
            <w:pPr>
              <w:spacing w:after="0"/>
              <w:rPr>
                <w:sz w:val="1"/>
                <w:szCs w:val="1"/>
                <w:color w:val="auto"/>
              </w:rPr>
            </w:pPr>
          </w:p>
        </w:tc>
      </w:tr>
      <w:tr>
        <w:trPr>
          <w:trHeight w:val="236"/>
        </w:trPr>
        <w:tc>
          <w:tcPr>
            <w:tcW w:w="4020" w:type="dxa"/>
            <w:vAlign w:val="bottom"/>
            <w:tcBorders>
              <w:left w:val="single" w:sz="8" w:color="auto"/>
            </w:tcBorders>
          </w:tcPr>
          <w:p>
            <w:pPr>
              <w:ind w:left="40"/>
              <w:spacing w:after="0" w:line="235"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7"/>
              <w:spacing w:after="0"/>
              <w:rPr>
                <w:sz w:val="20"/>
                <w:szCs w:val="20"/>
                <w:color w:val="auto"/>
              </w:rPr>
            </w:pPr>
            <w:r>
              <w:rPr>
                <w:rFonts w:ascii="Arial" w:cs="Arial" w:eastAsia="Arial" w:hAnsi="Arial"/>
                <w:sz w:val="18"/>
                <w:szCs w:val="18"/>
                <w:b w:val="1"/>
                <w:bCs w:val="1"/>
                <w:color w:val="auto"/>
              </w:rPr>
              <w:t>181</w:t>
            </w:r>
          </w:p>
        </w:tc>
        <w:tc>
          <w:tcPr>
            <w:tcW w:w="1040" w:type="dxa"/>
            <w:vAlign w:val="bottom"/>
          </w:tcPr>
          <w:p>
            <w:pPr>
              <w:jc w:val="right"/>
              <w:ind w:right="3"/>
              <w:spacing w:after="0"/>
              <w:rPr>
                <w:sz w:val="20"/>
                <w:szCs w:val="20"/>
                <w:color w:val="auto"/>
              </w:rPr>
            </w:pPr>
            <w:r>
              <w:rPr>
                <w:rFonts w:ascii="Arial" w:cs="Arial" w:eastAsia="Arial" w:hAnsi="Arial"/>
                <w:sz w:val="16"/>
                <w:szCs w:val="16"/>
                <w:i w:val="1"/>
                <w:iCs w:val="1"/>
                <w:color w:val="auto"/>
              </w:rPr>
              <w:t>2 %</w:t>
            </w:r>
          </w:p>
        </w:tc>
        <w:tc>
          <w:tcPr>
            <w:tcW w:w="360" w:type="dxa"/>
            <w:vAlign w:val="bottom"/>
          </w:tcPr>
          <w:p>
            <w:pPr>
              <w:spacing w:after="0"/>
              <w:rPr>
                <w:sz w:val="20"/>
                <w:szCs w:val="20"/>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20"/>
                <w:szCs w:val="20"/>
                <w:color w:val="auto"/>
              </w:rPr>
            </w:pPr>
          </w:p>
        </w:tc>
        <w:tc>
          <w:tcPr>
            <w:tcW w:w="920" w:type="dxa"/>
            <w:vAlign w:val="bottom"/>
          </w:tcPr>
          <w:p>
            <w:pPr>
              <w:jc w:val="right"/>
              <w:ind w:right="175"/>
              <w:spacing w:after="0"/>
              <w:rPr>
                <w:sz w:val="20"/>
                <w:szCs w:val="20"/>
                <w:color w:val="auto"/>
              </w:rPr>
            </w:pPr>
            <w:r>
              <w:rPr>
                <w:rFonts w:ascii="Arial" w:cs="Arial" w:eastAsia="Arial" w:hAnsi="Arial"/>
                <w:sz w:val="18"/>
                <w:szCs w:val="18"/>
                <w:b w:val="1"/>
                <w:bCs w:val="1"/>
                <w:color w:val="auto"/>
              </w:rPr>
              <w:t>708</w:t>
            </w: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 %</w:t>
            </w:r>
          </w:p>
        </w:tc>
        <w:tc>
          <w:tcPr>
            <w:tcW w:w="380" w:type="dxa"/>
            <w:vAlign w:val="bottom"/>
          </w:tcPr>
          <w:p>
            <w:pPr>
              <w:spacing w:after="0"/>
              <w:rPr>
                <w:sz w:val="20"/>
                <w:szCs w:val="20"/>
                <w:color w:val="auto"/>
              </w:rPr>
            </w:pPr>
          </w:p>
        </w:tc>
        <w:tc>
          <w:tcPr>
            <w:tcW w:w="860" w:type="dxa"/>
            <w:vAlign w:val="bottom"/>
            <w:tcBorders>
              <w:right w:val="single" w:sz="8" w:color="auto"/>
            </w:tcBorders>
          </w:tcPr>
          <w:p>
            <w:pPr>
              <w:jc w:val="right"/>
              <w:ind w:right="13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95"/>
        </w:trPr>
        <w:tc>
          <w:tcPr>
            <w:tcW w:w="40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i w:val="1"/>
                <w:iCs w:val="1"/>
                <w:color w:val="auto"/>
              </w:rPr>
              <w:t>Adjusted EBITDA as a percentage of revenues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i w:val="1"/>
                <w:iCs w:val="1"/>
                <w:color w:val="auto"/>
              </w:rPr>
              <w:t>10.3 %</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i w:val="1"/>
                <w:iCs w:val="1"/>
                <w:color w:val="auto"/>
              </w:rPr>
              <w:t>70bps</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9.6 %</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9.7 %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20bps</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i w:val="1"/>
                <w:iCs w:val="1"/>
                <w:color w:val="auto"/>
              </w:rPr>
              <w:t>9.5 %</w:t>
            </w:r>
          </w:p>
        </w:tc>
        <w:tc>
          <w:tcPr>
            <w:tcW w:w="0" w:type="dxa"/>
            <w:vAlign w:val="bottom"/>
          </w:tcPr>
          <w:p>
            <w:pPr>
              <w:spacing w:after="0"/>
              <w:rPr>
                <w:sz w:val="1"/>
                <w:szCs w:val="1"/>
                <w:color w:val="auto"/>
              </w:rPr>
            </w:pPr>
          </w:p>
        </w:tc>
      </w:tr>
      <w:tr>
        <w:trPr>
          <w:trHeight w:val="224"/>
        </w:trPr>
        <w:tc>
          <w:tcPr>
            <w:tcW w:w="40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1.87</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(7)%</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7.70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4020" w:type="dxa"/>
            <w:vAlign w:val="bottom"/>
            <w:tcBorders>
              <w:left w:val="single" w:sz="8" w:color="auto"/>
              <w:bottom w:val="single" w:sz="8" w:color="auto"/>
            </w:tcBorders>
          </w:tcPr>
          <w:p>
            <w:pPr>
              <w:ind w:left="40"/>
              <w:spacing w:after="0" w:line="230" w:lineRule="exact"/>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(1)</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2.62</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i w:val="1"/>
                <w:iCs w:val="1"/>
                <w:color w:val="auto"/>
              </w:rPr>
              <w:t>2 %</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2.57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10.75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18 %</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258</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124 %</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609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23 %</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4020" w:type="dxa"/>
            <w:vAlign w:val="bottom"/>
            <w:tcBorders>
              <w:left w:val="single" w:sz="8" w:color="auto"/>
              <w:bottom w:val="single" w:sz="8" w:color="auto"/>
            </w:tcBorders>
          </w:tcPr>
          <w:p>
            <w:pPr>
              <w:ind w:left="40"/>
              <w:spacing w:after="0" w:line="23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336</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i w:val="1"/>
                <w:iCs w:val="1"/>
                <w:color w:val="auto"/>
              </w:rPr>
              <w:t>42 %</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577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16 %</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ectPr>
          <w:pgSz w:w="11900" w:h="16838" w:orient="portrait"/>
          <w:cols w:equalWidth="0" w:num="1">
            <w:col w:w="11260"/>
          </w:cols>
          <w:pgMar w:left="320" w:top="566"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Fourth Quarter Summary Results</w:t>
      </w:r>
    </w:p>
    <w:p>
      <w:pPr>
        <w:spacing w:after="0" w:line="1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Revenues for the quarter decreased $88 million compared to the prior year quarter primarily due to ramp down in volume on existing contracts, including the impact of government shutdown, and contract completions, partially offset by new contracts and the acquisition of SilverEdge ($23 million).</w:t>
      </w:r>
    </w:p>
    <w:p>
      <w:pPr>
        <w:spacing w:after="0" w:line="13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Operating income as a percentage of revenues increased to 7.6% for the quarter as compared to 7.5% in the comparable prior year period primarily due to lower selling, general and administrative expenses, partially offset by timing and volume mix in our contract portfolio.</w:t>
      </w:r>
    </w:p>
    <w:p>
      <w:pPr>
        <w:spacing w:after="0" w:line="126"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as a percentage of revenues for the quarter was 10.3%, compared to 9.6% for the prior year quarter primarily due to lower selling, general and administrative expenses, partially offset by timing and volume mix in our contract portfolio.</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Diluted earnings per share for the quarter was $1.87 compared to $2.00 in the prior year quarter. Adjusted diluted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$2.62 for the quarter compared to $2.57 in the prior year quarter. The weighted-average diluted shares outstanding during the quarter decreased to 45.4 million shares from 49.0 million shares during the prior year quarter.</w:t>
      </w:r>
    </w:p>
    <w:p>
      <w:pPr>
        <w:spacing w:after="0" w:line="16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2026 Summary Results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for the fiscal year decreased $217 million compared to the prior year primarily due to contract completions and ramp down in volume on existing contracts, including approximately $26 million attributable to the government shutdown, partially offset by new contracts. Revenues attributed to SilverEdge for the year ended January 30, 2026 were $27 million. Adjusting for the acquisition of SilverEdge, revenues contracted by approximately 3.3%.</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Operating income as a percentage of revenues for the fiscal year decreased compared to the prior year primarily due to executive transition costs, net of recoveries, the favorable resolution of the Assault Amphibious Vehicle ("AAV") contract termination in the prior year ($13 million), costs related to the settlement of federal tax audits, and timing and volume mix in our contract portfolio, partially offset by a recovery of costs from the settlement of a patent infringement matter.</w:t>
      </w:r>
    </w:p>
    <w:p>
      <w:pPr>
        <w:spacing w:after="0" w:line="13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Adjusted EBITDA</w:t>
      </w:r>
      <w:r>
        <w:rPr>
          <w:rFonts w:ascii="Arial" w:cs="Arial" w:eastAsia="Arial" w:hAnsi="Arial"/>
          <w:sz w:val="10"/>
          <w:szCs w:val="10"/>
          <w:color w:val="auto"/>
        </w:rPr>
        <w:t>(1)</w:t>
      </w:r>
      <w:r>
        <w:rPr>
          <w:rFonts w:ascii="Arial" w:cs="Arial" w:eastAsia="Arial" w:hAnsi="Arial"/>
          <w:sz w:val="18"/>
          <w:szCs w:val="18"/>
          <w:color w:val="auto"/>
        </w:rPr>
        <w:t xml:space="preserve"> as a percentage of revenues for the fiscal year increased compared to the prior year primarily due to a recovery of costs from the settlement of a patent infringement matter and lower other selling, general and administrative expenses, partially offset by the favorable resolution of the AAV contract termination in the prior year ($13 million), and timing and volume mix in our contract portfolio.</w:t>
      </w:r>
    </w:p>
    <w:p>
      <w:pPr>
        <w:spacing w:after="0" w:line="14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Diluted earnings per share for the year was $ 7.70 compared to $7.17 in the prior year. Adjusted diluted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$10.75 for the year compared to $9.13 in the prior year. The weighted-average diluted shares outstanding during the year decreased to 46.5 million shares from 50.5 million shares during the prior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Schedule 6 for information about this measure.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 and Capital Deployment</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Total cash flows provided by operating activities for the fourth quarter were $258 million, an increase of $143 million compared to the prior year quarter, primarily due to timing of customer collections, lower cash outflows from the usage of the Master Accounts Receivable Purchase Agreement ("MARPA Facility"), and lower cash taxes paid, net of tax refunds received in the current year, partially offset by timing of vendor payments.</w:t>
      </w:r>
    </w:p>
    <w:p>
      <w:pPr>
        <w:spacing w:after="0" w:line="13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cash flows provided by operating activities for the year were $609 million, an increase of $115 million from the prior year, primarily due to timing of customer collections, lower cash outflows from the usage of the MARPA Facility, lower cash taxes paid, net of tax refunds received in the current year, and other changes in working capital, partially offset by timing of vendor payments.</w:t>
      </w:r>
    </w:p>
    <w:p>
      <w:pPr>
        <w:spacing w:after="0" w:line="1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quarter, SAIC deployed $122 million of capital, consisting primarily of $97 million of share repurchases in accordance with established repurchase plans and $17 million in cash dividends to shareholders. For the year, SAIC deployed $524 million of capital, consisting primarily of share repurchases of $422 million (approximately 4.0 million shares) in accordance with established repurchase plans and cash dividends of $70 million to shareholders.</w:t>
      </w:r>
    </w:p>
    <w:p>
      <w:pPr>
        <w:sectPr>
          <w:pgSz w:w="11900" w:h="16838" w:orient="portrait"/>
          <w:cols w:equalWidth="0" w:num="1">
            <w:col w:w="11160"/>
          </w:cols>
          <w:pgMar w:left="320" w:top="661"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Quarterly Dividend Declared</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previously announced, subsequent to fiscal year-end, the Company’s Board of Directors ("Board of Directors") declared a cash dividend of $0.37 per share of the Company’s common stock payable on April 24, 2026 to stockholders of record on April 10, 2026. SAIC intends to continue paying dividends on a quarterly basis, although the declaration of any future dividends will be determined by the Board of Directors each quarter and will depend on earnings, financial condition, capital requirements and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 and Contract Awards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Net bookings for the quarter were approximately $0.6 billion, which reflects a book-to-bill ratio of approximately 0.3. Net bookings for the year were approximately $7.8 billion, which reflects a book-to-bill ratio of approximately 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SAIC’s estimated backlog at the end of fiscal 2026 was approximately $22.6 billion of which $3.6 billion was funded.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SAIC was awarded the following notable contracts during the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Space and Intelligence Community Awards:</w:t>
      </w:r>
    </w:p>
    <w:p>
      <w:pPr>
        <w:spacing w:after="0" w:line="19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U.S. Space and Intelligence Community: </w:t>
      </w:r>
      <w:r>
        <w:rPr>
          <w:rFonts w:ascii="Arial" w:cs="Arial" w:eastAsia="Arial" w:hAnsi="Arial"/>
          <w:sz w:val="18"/>
          <w:szCs w:val="18"/>
          <w:color w:val="auto"/>
        </w:rPr>
        <w:t>During the quarter, SAIC was awarded approximately $629 million of contract awards by space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intelligence organizations. These awards represent a combination of new business, modifications, and recompetes.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New Awards: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U.S. Government Accountability Office ("GAO"): </w:t>
      </w:r>
      <w:r>
        <w:rPr>
          <w:rFonts w:ascii="Arial" w:cs="Arial" w:eastAsia="Arial" w:hAnsi="Arial"/>
          <w:sz w:val="18"/>
          <w:szCs w:val="18"/>
          <w:color w:val="auto"/>
        </w:rPr>
        <w:t>SAIC was awarded a new $95 million contract by the GAO to provide comprehensive,</w:t>
      </w:r>
      <w:r>
        <w:rPr>
          <w:rFonts w:ascii="Arial" w:cs="Arial" w:eastAsia="Arial" w:hAnsi="Arial"/>
          <w:sz w:val="18"/>
          <w:szCs w:val="18"/>
          <w:b w:val="1"/>
          <w:bCs w:val="1"/>
          <w:color w:val="auto"/>
        </w:rPr>
        <w:t xml:space="preserve"> </w:t>
      </w:r>
      <w:r>
        <w:rPr>
          <w:rFonts w:ascii="Arial" w:cs="Arial" w:eastAsia="Arial" w:hAnsi="Arial"/>
          <w:sz w:val="18"/>
          <w:szCs w:val="18"/>
          <w:color w:val="auto"/>
        </w:rPr>
        <w:t>full-scale IT solutions for the Technical Information Services (TIS) program. Under this five-year (one-year base, plus four, one-year option periods) contract, the Company will deliver end-to-end IT solutions designed to support the GAO mission of a revamped and more efficient IT environment.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Awards Subsequent to Period End (not included in current quarter bookings):</w:t>
      </w:r>
    </w:p>
    <w:p>
      <w:pPr>
        <w:spacing w:after="0" w:line="1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 xml:space="preserve">U.S. Space and Intelligence Community: </w:t>
      </w:r>
      <w:r>
        <w:rPr>
          <w:rFonts w:ascii="Arial" w:cs="Arial" w:eastAsia="Arial" w:hAnsi="Arial"/>
          <w:sz w:val="18"/>
          <w:szCs w:val="18"/>
          <w:color w:val="auto"/>
        </w:rPr>
        <w:t>Subsequent to the end of the quarter, SAIC was awarded a seven-year recompete contract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$330 million with a Space and Intelligence Community customer. Under this contract, SAIC will provide systems engineering and technical assistance to its customer.</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 xml:space="preserve">Federal Civilian Community: </w:t>
      </w:r>
      <w:r>
        <w:rPr>
          <w:rFonts w:ascii="Arial" w:cs="Arial" w:eastAsia="Arial" w:hAnsi="Arial"/>
          <w:sz w:val="18"/>
          <w:szCs w:val="18"/>
          <w:color w:val="auto"/>
        </w:rPr>
        <w:t>Subsequent to the end of the quarter, SAIC was awarded a five-year (one-year base, plus four, one-year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periods) recompete contract of approximately $ 200 million with an agency in its Civilian business group. Under this contract, SAIC will provide technology enhancement, modernization, and refresh of customer systems.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2027 Guidance</w:t>
      </w:r>
    </w:p>
    <w:p>
      <w:pPr>
        <w:spacing w:after="0" w:line="115"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Company's outlook for fiscal year 2027 is being provided, announcing guidance for adjusted diluted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reiterating the previously announced guidance for revenue, adjusted EBITDA</w:t>
      </w:r>
      <w:r>
        <w:rPr>
          <w:rFonts w:ascii="Arial" w:cs="Arial" w:eastAsia="Arial" w:hAnsi="Arial"/>
          <w:sz w:val="23"/>
          <w:szCs w:val="23"/>
          <w:color w:val="auto"/>
          <w:vertAlign w:val="superscript"/>
        </w:rPr>
        <w:t>(1)</w:t>
      </w:r>
      <w:r>
        <w:rPr>
          <w:rFonts w:ascii="Arial" w:cs="Arial" w:eastAsia="Arial" w:hAnsi="Arial"/>
          <w:sz w:val="18"/>
          <w:szCs w:val="18"/>
          <w:color w:val="auto"/>
        </w:rPr>
        <w:t>, adjusted EBITDA margin</w:t>
      </w:r>
      <w:r>
        <w:rPr>
          <w:rFonts w:ascii="Arial" w:cs="Arial" w:eastAsia="Arial" w:hAnsi="Arial"/>
          <w:sz w:val="23"/>
          <w:szCs w:val="23"/>
          <w:color w:val="auto"/>
          <w:vertAlign w:val="superscript"/>
        </w:rPr>
        <w:t>(1)</w:t>
      </w:r>
      <w:r>
        <w:rPr>
          <w:rFonts w:ascii="Arial" w:cs="Arial" w:eastAsia="Arial" w:hAnsi="Arial"/>
          <w:sz w:val="18"/>
          <w:szCs w:val="18"/>
          <w:color w:val="auto"/>
        </w:rPr>
        <w:t>, and free cash flow</w:t>
      </w:r>
      <w:r>
        <w:rPr>
          <w:rFonts w:ascii="Arial" w:cs="Arial" w:eastAsia="Arial" w:hAnsi="Arial"/>
          <w:sz w:val="23"/>
          <w:szCs w:val="23"/>
          <w:color w:val="auto"/>
          <w:vertAlign w:val="superscript"/>
        </w:rPr>
        <w:t>(1)</w:t>
      </w:r>
      <w:r>
        <w:rPr>
          <w:rFonts w:ascii="Arial" w:cs="Arial" w:eastAsia="Arial" w:hAnsi="Arial"/>
          <w:sz w:val="18"/>
          <w:szCs w:val="18"/>
          <w:color w:val="auto"/>
        </w:rPr>
        <w:t>. The table below summarizes fiscal year 2027 guidance and represents our views as of March 16, 2026.</w:t>
      </w:r>
    </w:p>
    <w:p>
      <w:pPr>
        <w:spacing w:after="0" w:line="180" w:lineRule="exact"/>
        <w:rPr>
          <w:sz w:val="20"/>
          <w:szCs w:val="20"/>
          <w:color w:val="auto"/>
        </w:rPr>
      </w:pPr>
    </w:p>
    <w:tbl>
      <w:tblPr>
        <w:tblLayout w:type="fixed"/>
        <w:tblInd w:w="2750" w:type="dxa"/>
        <w:tblCellMar>
          <w:top w:w="0" w:type="dxa"/>
          <w:left w:w="0" w:type="dxa"/>
          <w:bottom w:w="0" w:type="dxa"/>
          <w:right w:w="0" w:type="dxa"/>
        </w:tblCellMar>
      </w:tblPr>
      <w:tr>
        <w:trPr>
          <w:trHeight w:val="238"/>
        </w:trPr>
        <w:tc>
          <w:tcPr>
            <w:tcW w:w="3080" w:type="dxa"/>
            <w:vAlign w:val="bottom"/>
            <w:tcBorders>
              <w:right w:val="single" w:sz="8" w:color="auto"/>
            </w:tcBorders>
          </w:tcPr>
          <w:p>
            <w:pPr>
              <w:spacing w:after="0"/>
              <w:rPr>
                <w:sz w:val="20"/>
                <w:szCs w:val="20"/>
                <w:color w:val="auto"/>
              </w:rPr>
            </w:pPr>
          </w:p>
        </w:tc>
        <w:tc>
          <w:tcPr>
            <w:tcW w:w="27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CURRENT Fiscal Year</w:t>
            </w:r>
          </w:p>
        </w:tc>
      </w:tr>
      <w:tr>
        <w:trPr>
          <w:trHeight w:val="235"/>
        </w:trPr>
        <w:tc>
          <w:tcPr>
            <w:tcW w:w="308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2027 Guidance</w:t>
            </w:r>
          </w:p>
        </w:tc>
      </w:tr>
      <w:tr>
        <w:trPr>
          <w:trHeight w:val="218"/>
        </w:trPr>
        <w:tc>
          <w:tcPr>
            <w:tcW w:w="3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$7.0B</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$7.2B</w:t>
            </w:r>
          </w:p>
        </w:tc>
      </w:tr>
      <w:tr>
        <w:trPr>
          <w:trHeight w:val="227"/>
        </w:trPr>
        <w:tc>
          <w:tcPr>
            <w:tcW w:w="3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Organic Growth</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w:t>
            </w:r>
          </w:p>
        </w:tc>
      </w:tr>
      <w:tr>
        <w:trPr>
          <w:trHeight w:val="230"/>
        </w:trPr>
        <w:tc>
          <w:tcPr>
            <w:tcW w:w="308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8"/>
              </w:rPr>
              <w:t>Adjusted EBITDA</w:t>
            </w:r>
            <w:r>
              <w:rPr>
                <w:rFonts w:ascii="Arial" w:cs="Arial" w:eastAsia="Arial" w:hAnsi="Arial"/>
                <w:sz w:val="23"/>
                <w:szCs w:val="23"/>
                <w:color w:val="auto"/>
                <w:w w:val="98"/>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$705M</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$715M</w:t>
            </w:r>
          </w:p>
        </w:tc>
      </w:tr>
      <w:tr>
        <w:trPr>
          <w:trHeight w:val="230"/>
        </w:trPr>
        <w:tc>
          <w:tcPr>
            <w:tcW w:w="308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8"/>
              </w:rPr>
              <w:t>Adjusted EBITDA Margin %</w:t>
            </w:r>
            <w:r>
              <w:rPr>
                <w:rFonts w:ascii="Arial" w:cs="Arial" w:eastAsia="Arial" w:hAnsi="Arial"/>
                <w:sz w:val="23"/>
                <w:szCs w:val="23"/>
                <w:color w:val="auto"/>
                <w:w w:val="98"/>
                <w:vertAlign w:val="superscript"/>
              </w:rPr>
              <w:t>(1)</w:t>
            </w:r>
          </w:p>
        </w:tc>
        <w:tc>
          <w:tcPr>
            <w:tcW w:w="2700" w:type="dxa"/>
            <w:vAlign w:val="bottom"/>
            <w:tcBorders>
              <w:right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9.9% - 10.1%</w:t>
            </w:r>
          </w:p>
        </w:tc>
      </w:tr>
      <w:tr>
        <w:trPr>
          <w:trHeight w:val="230"/>
        </w:trPr>
        <w:tc>
          <w:tcPr>
            <w:tcW w:w="308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98"/>
              </w:rPr>
              <w:t>Adjusted Diluted EPS</w:t>
            </w:r>
            <w:r>
              <w:rPr>
                <w:rFonts w:ascii="Arial" w:cs="Arial" w:eastAsia="Arial" w:hAnsi="Arial"/>
                <w:sz w:val="23"/>
                <w:szCs w:val="23"/>
                <w:color w:val="auto"/>
                <w:w w:val="98"/>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$9.50</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$9.70</w:t>
            </w:r>
          </w:p>
        </w:tc>
      </w:tr>
      <w:tr>
        <w:trPr>
          <w:trHeight w:val="237"/>
        </w:trPr>
        <w:tc>
          <w:tcPr>
            <w:tcW w:w="30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18"/>
                <w:szCs w:val="18"/>
                <w:color w:val="auto"/>
                <w:w w:val="96"/>
              </w:rPr>
              <w:t>Free Cash Flow</w:t>
            </w:r>
            <w:r>
              <w:rPr>
                <w:rFonts w:ascii="Arial" w:cs="Arial" w:eastAsia="Arial" w:hAnsi="Arial"/>
                <w:sz w:val="23"/>
                <w:szCs w:val="23"/>
                <w:color w:val="auto"/>
                <w:w w:val="96"/>
                <w:vertAlign w:val="superscript"/>
              </w:rPr>
              <w:t>(1)</w:t>
            </w:r>
          </w:p>
        </w:tc>
        <w:tc>
          <w:tcPr>
            <w:tcW w:w="2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&gt;$600M</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Schedule 6 for information about this measure.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SAIC management will discuss operations and financial results in an earnings conference call beginning at 10 a.m. Eastern time on</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March 16, 2026. The conference call will be webcast simultaneously to the public through a link on the Investor Relations section of the SAIC website (http://investors.saic.com). We will be providing webcast access only – “dial-in”</w:t>
      </w:r>
    </w:p>
    <w:p>
      <w:pPr>
        <w:sectPr>
          <w:pgSz w:w="11900" w:h="16838" w:orient="portrait"/>
          <w:cols w:equalWidth="0" w:num="1">
            <w:col w:w="11220"/>
          </w:cols>
          <w:pgMar w:left="320" w:top="742" w:right="359" w:bottom="1440" w:gutter="0" w:footer="0" w:header="0"/>
        </w:sectPr>
      </w:pPr>
    </w:p>
    <w:bookmarkStart w:id="6" w:name="page7"/>
    <w:bookmarkEnd w:id="6"/>
    <w:p>
      <w:pPr>
        <w:jc w:val="both"/>
        <w:ind w:right="80"/>
        <w:spacing w:after="0" w:line="268" w:lineRule="auto"/>
        <w:rPr>
          <w:sz w:val="20"/>
          <w:szCs w:val="20"/>
          <w:color w:val="auto"/>
        </w:rPr>
      </w:pPr>
      <w:r>
        <w:rPr>
          <w:rFonts w:ascii="Arial" w:cs="Arial" w:eastAsia="Arial" w:hAnsi="Arial"/>
          <w:sz w:val="18"/>
          <w:szCs w:val="18"/>
          <w:color w:val="auto"/>
        </w:rPr>
        <w:t>access is no longer available. Additionally, a supplemental presentation will be available to the public through links to the Investor Relations section of the SAIC website. After the call concludes, an on-demand audio replay of the webcast can be accessed on the Investor Relations website.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SAIC</w:t>
      </w:r>
    </w:p>
    <w:p>
      <w:pPr>
        <w:spacing w:after="0" w:line="196"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SAIC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premier Fortune 500 mission integrator focused on advancing the power of technology and innovation to serve and protect our world. Our robust portfolio of offerings across the defense, space, civilian and intelligence markets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74"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auto"/>
        </w:rPr>
        <w:t>We are approximately 23,000 strong; driven by mission, united by purpose, and inspired by opportunities. Headquartered in Reston, Virginia, SAIC has annual revenues of approximately $7.3 billion. For more information, visit saic.com. For ongoing news, please visit our newsroom.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Darryn James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 Media and Brand Reputation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publicrelations@saic.com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Jon Raviv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investorrelations@saic.com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GAAP to Non-GAAP Guidance Reconciliation</w:t>
      </w:r>
    </w:p>
    <w:p>
      <w:pPr>
        <w:spacing w:after="0" w:line="100"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The Company does not provide a reconciliation of forward-looking adjusted diluted EPS to GAAP diluted EPS or adjusted EBITDA margin to GAAP net income due to the inherent difficulty in forecasting and quantifying certain amounts that are necessary for such reconciliation. Because certain deductions for non-GAAP exclusions used to calculate net income may vary significantly based on actual events, the Company is not able to forecast GAAP diluted EPS or GAAP net income with reasonable certainty. The variability of the above charges may have an unpredictable and potentially significant impact on our future GAAP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Forward-Looking Statements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Arial" w:cs="Arial" w:eastAsia="Arial" w:hAnsi="Arial"/>
          <w:sz w:val="16"/>
          <w:szCs w:val="16"/>
          <w:i w:val="1"/>
          <w:iCs w:val="1"/>
          <w:u w:val="single" w:color="auto"/>
          <w:color w:val="auto"/>
        </w:rPr>
        <w:t>www.saic.com</w:t>
      </w:r>
      <w:r>
        <w:rPr>
          <w:rFonts w:ascii="Arial" w:cs="Arial" w:eastAsia="Arial" w:hAnsi="Arial"/>
          <w:sz w:val="16"/>
          <w:szCs w:val="16"/>
          <w:i w:val="1"/>
          <w:iCs w:val="1"/>
          <w:color w:val="auto"/>
        </w:rPr>
        <w:t xml:space="preserve"> or on the SEC’s website at www.sec.gov.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ectPr>
          <w:pgSz w:w="11900" w:h="16838" w:orient="portrait"/>
          <w:cols w:equalWidth="0" w:num="1">
            <w:col w:w="11200"/>
          </w:cols>
          <w:pgMar w:left="320" w:top="67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Schedule 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AND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January 30,</w:t>
            </w:r>
          </w:p>
        </w:tc>
        <w:tc>
          <w:tcPr>
            <w:tcW w:w="3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2"/>
                <w:szCs w:val="12"/>
                <w:color w:val="auto"/>
              </w:rPr>
            </w:pPr>
          </w:p>
        </w:tc>
        <w:tc>
          <w:tcPr>
            <w:tcW w:w="1000" w:type="dxa"/>
            <w:vAlign w:val="bottom"/>
          </w:tcPr>
          <w:p>
            <w:pPr>
              <w:jc w:val="right"/>
              <w:ind w:right="13"/>
              <w:spacing w:after="0" w:line="147" w:lineRule="exact"/>
              <w:rPr>
                <w:sz w:val="20"/>
                <w:szCs w:val="20"/>
                <w:color w:val="auto"/>
              </w:rPr>
            </w:pPr>
            <w:r>
              <w:rPr>
                <w:rFonts w:ascii="Arial" w:cs="Arial" w:eastAsia="Arial" w:hAnsi="Arial"/>
                <w:sz w:val="14"/>
                <w:szCs w:val="14"/>
                <w:b w:val="1"/>
                <w:bCs w:val="1"/>
                <w:color w:val="auto"/>
              </w:rPr>
              <w:t>January 30,</w:t>
            </w: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January 31, 2025</w:t>
            </w:r>
          </w:p>
        </w:tc>
        <w:tc>
          <w:tcPr>
            <w:tcW w:w="0" w:type="dxa"/>
            <w:vAlign w:val="bottom"/>
          </w:tcPr>
          <w:p>
            <w:pPr>
              <w:spacing w:after="0"/>
              <w:rPr>
                <w:sz w:val="1"/>
                <w:szCs w:val="1"/>
                <w:color w:val="auto"/>
              </w:rPr>
            </w:pPr>
          </w:p>
        </w:tc>
      </w:tr>
      <w:tr>
        <w:trPr>
          <w:trHeight w:val="185"/>
        </w:trPr>
        <w:tc>
          <w:tcPr>
            <w:tcW w:w="6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2026</w:t>
            </w: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color w:val="auto"/>
              </w:rPr>
              <w:t>(in millions, except per share amounts)</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1,750</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7,262</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1,529</w:t>
            </w:r>
          </w:p>
        </w:tc>
        <w:tc>
          <w:tcPr>
            <w:tcW w:w="3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1,606</w:t>
            </w:r>
          </w:p>
        </w:tc>
        <w:tc>
          <w:tcPr>
            <w:tcW w:w="28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6,390</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350</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(income)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521</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128</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w:t>
            </w:r>
          </w:p>
        </w:tc>
        <w:tc>
          <w:tcPr>
            <w:tcW w:w="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99</w:t>
            </w:r>
          </w:p>
        </w:tc>
        <w:tc>
          <w:tcPr>
            <w:tcW w:w="3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387</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w:t>
            </w:r>
          </w:p>
        </w:tc>
        <w:tc>
          <w:tcPr>
            <w:tcW w:w="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358</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6300" w:type="dxa"/>
            <w:vAlign w:val="bottom"/>
          </w:tcPr>
          <w:p>
            <w:pPr>
              <w:spacing w:after="0"/>
              <w:rPr>
                <w:sz w:val="20"/>
                <w:szCs w:val="20"/>
                <w:color w:val="auto"/>
              </w:rPr>
            </w:pPr>
            <w:r>
              <w:rPr>
                <w:rFonts w:ascii="Arial" w:cs="Arial" w:eastAsia="Arial" w:hAnsi="Arial"/>
                <w:sz w:val="18"/>
                <w:szCs w:val="18"/>
                <w:color w:val="auto"/>
              </w:rPr>
              <w:t>Weighted-average number of shares outstanding:</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48.6</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46.3</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45.4</w:t>
            </w: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49.0</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46.5</w:t>
            </w:r>
          </w:p>
        </w:tc>
        <w:tc>
          <w:tcPr>
            <w:tcW w:w="5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7.73</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1.87</w:t>
            </w:r>
          </w:p>
        </w:tc>
        <w:tc>
          <w:tcPr>
            <w:tcW w:w="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7.70</w:t>
            </w:r>
          </w:p>
        </w:tc>
        <w:tc>
          <w:tcPr>
            <w:tcW w:w="5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4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Schedule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AND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30, 2026</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31, 2025</w:t>
            </w:r>
          </w:p>
        </w:tc>
      </w:tr>
      <w:tr>
        <w:trPr>
          <w:trHeight w:val="189"/>
        </w:trPr>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jc w:val="right"/>
              <w:ind w:right="891"/>
              <w:spacing w:after="0"/>
              <w:rPr>
                <w:sz w:val="20"/>
                <w:szCs w:val="20"/>
                <w:color w:val="auto"/>
              </w:rPr>
            </w:pPr>
            <w:r>
              <w:rPr>
                <w:rFonts w:ascii="Arial" w:cs="Arial" w:eastAsia="Arial" w:hAnsi="Arial"/>
                <w:sz w:val="14"/>
                <w:szCs w:val="14"/>
                <w:color w:val="auto"/>
              </w:rPr>
              <w:t>(in millions)</w:t>
            </w:r>
          </w:p>
        </w:tc>
      </w:tr>
      <w:tr>
        <w:trPr>
          <w:trHeight w:val="238"/>
        </w:trPr>
        <w:tc>
          <w:tcPr>
            <w:tcW w:w="85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853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1,179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2,944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2,851</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761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110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0"/>
        </w:trPr>
        <w:tc>
          <w:tcPr>
            <w:tcW w:w="8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85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8500" w:type="dxa"/>
            <w:vAlign w:val="bottom"/>
          </w:tcPr>
          <w:p>
            <w:pPr>
              <w:ind w:left="220"/>
              <w:spacing w:after="0"/>
              <w:rPr>
                <w:sz w:val="20"/>
                <w:szCs w:val="20"/>
                <w:color w:val="auto"/>
              </w:rPr>
            </w:pPr>
            <w:r>
              <w:rPr>
                <w:rFonts w:ascii="Arial" w:cs="Arial" w:eastAsia="Arial" w:hAnsi="Arial"/>
                <w:sz w:val="18"/>
                <w:szCs w:val="18"/>
                <w:color w:val="auto"/>
              </w:rPr>
              <w:t>Accrued payroll and other employee benefits</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201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50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147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Debt,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982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 of current portion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2,468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198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1,500</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r>
      <w:tr>
        <w:trPr>
          <w:trHeight w:val="20"/>
        </w:trPr>
        <w:tc>
          <w:tcPr>
            <w:tcW w:w="8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93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Schedule 3:</w:t>
      </w:r>
    </w:p>
    <w:p>
      <w:pPr>
        <w:spacing w:after="0" w:line="185" w:lineRule="exact"/>
        <w:rPr>
          <w:sz w:val="20"/>
          <w:szCs w:val="20"/>
          <w:color w:val="auto"/>
        </w:rPr>
      </w:pPr>
    </w:p>
    <w:p>
      <w:pPr>
        <w:jc w:val="center"/>
        <w:ind w:left="360" w:right="2660"/>
        <w:spacing w:after="0" w:line="269" w:lineRule="auto"/>
        <w:rPr>
          <w:sz w:val="20"/>
          <w:szCs w:val="20"/>
          <w:color w:val="auto"/>
        </w:rPr>
      </w:pPr>
      <w:r>
        <w:rPr>
          <w:rFonts w:ascii="Arial" w:cs="Arial" w:eastAsia="Arial" w:hAnsi="Arial"/>
          <w:sz w:val="18"/>
          <w:szCs w:val="18"/>
          <w:b w:val="1"/>
          <w:bCs w:val="1"/>
          <w:color w:val="auto"/>
        </w:rPr>
        <w:t>SCIENCE APPLICATIONS INTERNATIONAL CORPORATION CONDENSED AND CONSOLIDATED STATEMENTS OF CASH FLOWS (Unaudited)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Borders>
              <w:bottom w:val="single" w:sz="8" w:color="auto"/>
            </w:tcBorders>
          </w:tcPr>
          <w:p>
            <w:pPr>
              <w:spacing w:after="0"/>
              <w:rPr>
                <w:sz w:val="17"/>
                <w:szCs w:val="17"/>
                <w:color w:val="auto"/>
              </w:rPr>
            </w:pPr>
          </w:p>
        </w:tc>
      </w:tr>
      <w:tr>
        <w:trPr>
          <w:trHeight w:val="147"/>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January 31,</w:t>
            </w:r>
          </w:p>
        </w:tc>
        <w:tc>
          <w:tcPr>
            <w:tcW w:w="4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January 30,</w:t>
            </w:r>
          </w:p>
        </w:tc>
        <w:tc>
          <w:tcPr>
            <w:tcW w:w="4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January 31,</w:t>
            </w:r>
          </w:p>
        </w:tc>
      </w:tr>
      <w:tr>
        <w:trPr>
          <w:trHeight w:val="185"/>
        </w:trPr>
        <w:tc>
          <w:tcPr>
            <w:tcW w:w="6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r>
      <w:tr>
        <w:trPr>
          <w:trHeight w:val="202"/>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358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184"/>
        </w:trPr>
        <w:tc>
          <w:tcPr>
            <w:tcW w:w="6320" w:type="dxa"/>
            <w:vAlign w:val="bottom"/>
          </w:tcPr>
          <w:p>
            <w:pPr>
              <w:ind w:left="200"/>
              <w:spacing w:after="0" w:line="183"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6320" w:type="dxa"/>
            <w:vAlign w:val="bottom"/>
          </w:tcPr>
          <w:p>
            <w:pPr>
              <w:ind w:left="46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63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149</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2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64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184"/>
        </w:trPr>
        <w:tc>
          <w:tcPr>
            <w:tcW w:w="6320" w:type="dxa"/>
            <w:vAlign w:val="bottom"/>
          </w:tcPr>
          <w:p>
            <w:pPr>
              <w:ind w:left="200"/>
              <w:spacing w:after="0" w:line="183" w:lineRule="exact"/>
              <w:rPr>
                <w:sz w:val="20"/>
                <w:szCs w:val="20"/>
                <w:color w:val="auto"/>
              </w:rPr>
            </w:pPr>
            <w:r>
              <w:rPr>
                <w:rFonts w:ascii="Arial" w:cs="Arial" w:eastAsia="Arial" w:hAnsi="Arial"/>
                <w:sz w:val="18"/>
                <w:szCs w:val="18"/>
                <w:color w:val="auto"/>
              </w:rPr>
              <w:t>Increase (decrease) resulting from changes in operating assets and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6320" w:type="dxa"/>
            <w:vAlign w:val="bottom"/>
          </w:tcPr>
          <w:p>
            <w:pPr>
              <w:ind w:left="460"/>
              <w:spacing w:after="0"/>
              <w:rPr>
                <w:sz w:val="20"/>
                <w:szCs w:val="20"/>
                <w:color w:val="auto"/>
              </w:rPr>
            </w:pPr>
            <w:r>
              <w:rPr>
                <w:rFonts w:ascii="Arial" w:cs="Arial" w:eastAsia="Arial" w:hAnsi="Arial"/>
                <w:sz w:val="18"/>
                <w:szCs w:val="18"/>
                <w:color w:val="auto"/>
              </w:rPr>
              <w:t>liabilities, net of the effect of the acquisitions and divestitures: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632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192</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161</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320" w:type="dxa"/>
            <w:vAlign w:val="bottom"/>
          </w:tcPr>
          <w:p>
            <w:pPr>
              <w:ind w:left="46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320" w:type="dxa"/>
            <w:vAlign w:val="bottom"/>
          </w:tcPr>
          <w:p>
            <w:pPr>
              <w:ind w:left="460"/>
              <w:spacing w:after="0"/>
              <w:rPr>
                <w:sz w:val="20"/>
                <w:szCs w:val="20"/>
                <w:color w:val="auto"/>
              </w:rPr>
            </w:pPr>
            <w:r>
              <w:rPr>
                <w:rFonts w:ascii="Arial" w:cs="Arial" w:eastAsia="Arial" w:hAnsi="Arial"/>
                <w:sz w:val="18"/>
                <w:szCs w:val="18"/>
                <w:color w:val="auto"/>
              </w:rPr>
              <w:t>Operating lease assets and liabilities, net</w:t>
            </w:r>
          </w:p>
        </w:tc>
        <w:tc>
          <w:tcPr>
            <w:tcW w:w="2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Other assets and other long-term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258</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609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acquisition, net of cash acquired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to investments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marketable securities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Proceeds from sale of equity method investments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63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632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2,745</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borrowings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(2,474)</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Stock repurchased and retired or withheld for taxes on equity awards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payments to stockholders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Issuances of stock</w:t>
            </w:r>
          </w:p>
        </w:tc>
        <w:tc>
          <w:tcPr>
            <w:tcW w:w="2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126</w:t>
            </w:r>
          </w:p>
        </w:tc>
        <w:tc>
          <w:tcPr>
            <w:tcW w:w="4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64</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93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Schedule 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OPERATING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Borders>
              <w:bottom w:val="single" w:sz="8" w:color="auto"/>
            </w:tcBorders>
          </w:tcPr>
          <w:p>
            <w:pPr>
              <w:spacing w:after="0"/>
              <w:rPr>
                <w:sz w:val="17"/>
                <w:szCs w:val="17"/>
                <w:color w:val="auto"/>
              </w:rPr>
            </w:pPr>
          </w:p>
        </w:tc>
      </w:tr>
      <w:tr>
        <w:trPr>
          <w:trHeight w:val="143"/>
        </w:trPr>
        <w:tc>
          <w:tcPr>
            <w:tcW w:w="5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January 30,</w:t>
            </w:r>
          </w:p>
        </w:tc>
        <w:tc>
          <w:tcPr>
            <w:tcW w:w="360" w:type="dxa"/>
            <w:vAlign w:val="bottom"/>
          </w:tcPr>
          <w:p>
            <w:pPr>
              <w:spacing w:after="0"/>
              <w:rPr>
                <w:sz w:val="12"/>
                <w:szCs w:val="12"/>
                <w:color w:val="auto"/>
              </w:rPr>
            </w:pPr>
          </w:p>
        </w:tc>
        <w:tc>
          <w:tcPr>
            <w:tcW w:w="10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January 31,</w:t>
            </w: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January 30,</w:t>
            </w:r>
          </w:p>
        </w:tc>
        <w:tc>
          <w:tcPr>
            <w:tcW w:w="4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January 31,</w:t>
            </w:r>
          </w:p>
        </w:tc>
      </w:tr>
      <w:tr>
        <w:trPr>
          <w:trHeight w:val="189"/>
        </w:trPr>
        <w:tc>
          <w:tcPr>
            <w:tcW w:w="5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r>
      <w:tr>
        <w:trPr>
          <w:trHeight w:val="188"/>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4"/>
          </w:tcPr>
          <w:p>
            <w:pPr>
              <w:jc w:val="right"/>
              <w:ind w:right="674"/>
              <w:spacing w:after="0"/>
              <w:rPr>
                <w:sz w:val="20"/>
                <w:szCs w:val="20"/>
                <w:color w:val="auto"/>
              </w:rPr>
            </w:pPr>
            <w:r>
              <w:rPr>
                <w:rFonts w:ascii="Arial" w:cs="Arial" w:eastAsia="Arial" w:hAnsi="Arial"/>
                <w:sz w:val="14"/>
                <w:szCs w:val="14"/>
                <w:color w:val="auto"/>
              </w:rPr>
              <w:t>(dollars in millions)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8"/>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and Intelligence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1,335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5,581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5,726</w:t>
            </w:r>
          </w:p>
        </w:tc>
      </w:tr>
      <w:tr>
        <w:trPr>
          <w:trHeight w:val="230"/>
        </w:trPr>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Civilian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415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1,681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1,753</w:t>
            </w:r>
          </w:p>
        </w:tc>
      </w:tr>
      <w:tr>
        <w:trPr>
          <w:trHeight w:val="248"/>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1,750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1,838</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7,262</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7,479</w:t>
            </w: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(loss)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and Intelligence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121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478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509</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Civilian</w:t>
            </w:r>
          </w:p>
        </w:tc>
        <w:tc>
          <w:tcPr>
            <w:tcW w:w="2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b w:val="1"/>
                <w:bCs w:val="1"/>
                <w:color w:val="auto"/>
              </w:rPr>
              <w:t>228</w:t>
            </w:r>
          </w:p>
        </w:tc>
        <w:tc>
          <w:tcPr>
            <w:tcW w:w="46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216</w:t>
            </w:r>
          </w:p>
        </w:tc>
      </w:tr>
      <w:tr>
        <w:trPr>
          <w:trHeight w:val="229"/>
        </w:trPr>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(4)</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adjusted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179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702</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705</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66"/>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margin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and Intelligence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9.1 %</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Civilian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14.5 %</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13.6 %</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adjusted operating margin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10.2 %</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Defense and Intelligence Results</w:t>
      </w:r>
    </w:p>
    <w:p>
      <w:pPr>
        <w:spacing w:after="0" w:line="18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Revenues in the fourth quarter decreased $25 million or 2% compared to the same period in the prior year primarily due to ramp down in volume on existing contracts and contract completions, partially offset by new contracts and the acquisition of SilverEdge ($23 million).</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Revenues in the fiscal year decreased $145 million or 3% compared to the prior year primarily due to contract completions and ramp down in volume on existing contracts, partially offset by new contracts. Revenues attributed to SilverEdge for the year ended January 30, 2026 were $27 million.</w:t>
      </w:r>
    </w:p>
    <w:p>
      <w:pPr>
        <w:spacing w:after="0" w:line="14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Adjusted operating income as a percentage of revenues in the fourth quarter increased compared to the same period in the prior year primarily due to timing and volume mix in the contract portfolio.</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Adjusted operating income as a percentage of revenues in the fiscal year decreased from the prior year primarily due to contract completions and ramp down in volume on existing contracts and the favorable resolution of the AAV contract termination in the prior year ($13 million), partially offset by new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Civilian Results</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Revenues in the fourth quarter decreased $63 million or 13% compared to the same period in the prior year primarily due to ramp down in volume on existing contracts and contract completions, partially offset by new contracts.</w:t>
      </w:r>
    </w:p>
    <w:p>
      <w:pPr>
        <w:spacing w:after="0" w:line="11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Revenues in the fiscal year decreased $72 million or 4% compared to the prior year primarily due to ramp down in volume on existing contracts and contract completions, partially offset by new contracts.</w:t>
      </w:r>
    </w:p>
    <w:p>
      <w:pPr>
        <w:spacing w:after="0" w:line="11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Adjusted operating income as a percentage of revenues in the fourth quarter decreased compared to the same period in the prior year primarily due to timing and volume mix in the contract portfolio.</w:t>
      </w:r>
    </w:p>
    <w:p>
      <w:pPr>
        <w:sectPr>
          <w:pgSz w:w="11900" w:h="16838" w:orient="portrait"/>
          <w:cols w:equalWidth="0" w:num="1">
            <w:col w:w="11220"/>
          </w:cols>
          <w:pgMar w:left="320" w:top="1106" w:right="35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8"/>
          <w:szCs w:val="18"/>
          <w:color w:val="auto"/>
        </w:rPr>
        <w:t>Adjusted operating income as a percentage of revenues in the fiscal year increased compared to the prior year primarily due to improved profitability across the contract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Results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Adjusted operating loss in the fourth quarter decreased $10 million compared to the same period in the prior year primarily due to lower selling, general and administrative expenses.</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Adjusted operating loss in the fiscal year decreased $16 million compared to the prior year primarily due to recovery of costs from the settlement of a patent infringement matter and lower other selling, general and administrative expenses.</w:t>
      </w:r>
    </w:p>
    <w:p>
      <w:pPr>
        <w:sectPr>
          <w:pgSz w:w="11900" w:h="16838" w:orient="portrait"/>
          <w:cols w:equalWidth="0" w:num="1">
            <w:col w:w="10880"/>
          </w:cols>
          <w:pgMar w:left="320" w:top="1106"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Schedule 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BACKLOG</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January 30, 2026</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January 31, 2025</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Defense and</w:t>
            </w:r>
          </w:p>
        </w:tc>
        <w:tc>
          <w:tcPr>
            <w:tcW w:w="3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Civilian</w:t>
            </w:r>
          </w:p>
        </w:tc>
        <w:tc>
          <w:tcPr>
            <w:tcW w:w="28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SAIC</w:t>
            </w:r>
          </w:p>
        </w:tc>
        <w:tc>
          <w:tcPr>
            <w:tcW w:w="3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Defense and</w:t>
            </w:r>
          </w:p>
        </w:tc>
        <w:tc>
          <w:tcPr>
            <w:tcW w:w="3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Civilian</w:t>
            </w:r>
          </w:p>
        </w:tc>
        <w:tc>
          <w:tcPr>
            <w:tcW w:w="3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Total SAIC</w:t>
            </w:r>
          </w:p>
        </w:tc>
        <w:tc>
          <w:tcPr>
            <w:tcW w:w="0" w:type="dxa"/>
            <w:vAlign w:val="bottom"/>
          </w:tcPr>
          <w:p>
            <w:pPr>
              <w:spacing w:after="0"/>
              <w:rPr>
                <w:sz w:val="1"/>
                <w:szCs w:val="1"/>
                <w:color w:val="auto"/>
              </w:rPr>
            </w:pPr>
          </w:p>
        </w:tc>
      </w:tr>
      <w:tr>
        <w:trPr>
          <w:trHeight w:val="185"/>
        </w:trPr>
        <w:tc>
          <w:tcPr>
            <w:tcW w:w="4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Intelligence</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Intelligence</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Funded backlog</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2,511</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1,061</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3,572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Negotiated unfunded backlog</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15,869</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15,341</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backlog</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18,380</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4,242</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22,622</w:t>
            </w: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17,940</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Backlog represents the estimated amount of future revenues to be recognized under negotiated contracts and task orders as work is performed and excludes contract awards which have been protested by competitors until the protest is resolved in our favor. SAIC segregates backlog into two categories, funded backlog and negotiated unfunded backlog. Funded backlog for contracts with government agencies primarily represents contracts for which funding is appropriated less revenues previously recognized on these contracts, and does not include the unfunded portion of contracts where funding is incrementally appropriated or authorized by the U.S. government and other customers even though the contract may call for performance over a number of years. Funded backlog for contracts with non-government agencies represents the estimated value of contracts which may cover multiple future years under which SAIC is obligated to perform, less revenues previously recognized on these contracts. Negotiated unfunded backlog represents the estimated future revenues to be earned from negotiated contracts for which funding has not been appropriated or authorized, and unexercised priced contract options. Negotiated unfunded backlog does not include any estimate of future potential task orders expected to be awarded under indefinite delivery, indefinite quantity (IDIQ), U.S. General Services Administration (GSA) schedules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ectPr>
          <w:pgSz w:w="11900" w:h="16838" w:orient="portrait"/>
          <w:cols w:equalWidth="0" w:num="1">
            <w:col w:w="11220"/>
          </w:cols>
          <w:pgMar w:left="320" w:top="113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Schedule 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This schedule describes the consolidated non-GAAP financial measures included in this earnings release.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Operating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5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30, 2026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31, 2025</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30, 2026</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31, 2025</w:t>
            </w:r>
          </w:p>
        </w:tc>
      </w:tr>
      <w:tr>
        <w:trPr>
          <w:trHeight w:val="193"/>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600"/>
              <w:spacing w:after="0"/>
              <w:rPr>
                <w:sz w:val="20"/>
                <w:szCs w:val="20"/>
                <w:color w:val="auto"/>
              </w:rPr>
            </w:pPr>
            <w:r>
              <w:rPr>
                <w:rFonts w:ascii="Arial" w:cs="Arial" w:eastAsia="Arial" w:hAnsi="Arial"/>
                <w:sz w:val="14"/>
                <w:szCs w:val="14"/>
                <w:color w:val="auto"/>
              </w:rPr>
              <w:t>(dollars in millions)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1,750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1,838</w:t>
            </w:r>
          </w:p>
        </w:tc>
        <w:tc>
          <w:tcPr>
            <w:tcW w:w="640" w:type="dxa"/>
            <w:vAlign w:val="bottom"/>
            <w:shd w:val="clear" w:color="auto" w:fill="CCEEFF"/>
          </w:tcPr>
          <w:p>
            <w:pPr>
              <w:jc w:val="right"/>
              <w:ind w:right="395"/>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7,479</w:t>
            </w:r>
          </w:p>
        </w:tc>
      </w:tr>
      <w:tr>
        <w:trPr>
          <w:trHeight w:val="23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138</w:t>
            </w:r>
          </w:p>
        </w:tc>
        <w:tc>
          <w:tcPr>
            <w:tcW w:w="640" w:type="dxa"/>
            <w:vAlign w:val="bottom"/>
          </w:tcPr>
          <w:p>
            <w:pPr>
              <w:jc w:val="right"/>
              <w:ind w:right="39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521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563</w:t>
            </w:r>
          </w:p>
        </w:tc>
      </w:tr>
      <w:tr>
        <w:trPr>
          <w:trHeight w:val="195"/>
        </w:trPr>
        <w:tc>
          <w:tcPr>
            <w:tcW w:w="5780" w:type="dxa"/>
            <w:vAlign w:val="bottom"/>
          </w:tcPr>
          <w:p>
            <w:pPr>
              <w:ind w:left="140"/>
              <w:spacing w:after="0"/>
              <w:rPr>
                <w:sz w:val="20"/>
                <w:szCs w:val="20"/>
                <w:color w:val="auto"/>
              </w:rPr>
            </w:pPr>
            <w:r>
              <w:rPr>
                <w:rFonts w:ascii="Arial" w:cs="Arial" w:eastAsia="Arial" w:hAnsi="Arial"/>
                <w:sz w:val="14"/>
                <w:szCs w:val="14"/>
                <w:i w:val="1"/>
                <w:iCs w:val="1"/>
                <w:color w:val="auto"/>
              </w:rPr>
              <w:t>Operating income as a percentage of revenues</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7.6 %</w:t>
            </w:r>
          </w:p>
        </w:tc>
        <w:tc>
          <w:tcPr>
            <w:tcW w:w="200" w:type="dxa"/>
            <w:vAlign w:val="bottom"/>
          </w:tcPr>
          <w:p>
            <w:pPr>
              <w:spacing w:after="0"/>
              <w:rPr>
                <w:sz w:val="16"/>
                <w:szCs w:val="16"/>
                <w:color w:val="auto"/>
              </w:rPr>
            </w:pPr>
          </w:p>
        </w:tc>
        <w:tc>
          <w:tcPr>
            <w:tcW w:w="1200" w:type="dxa"/>
            <w:vAlign w:val="bottom"/>
          </w:tcPr>
          <w:p>
            <w:pPr>
              <w:ind w:left="760"/>
              <w:spacing w:after="0"/>
              <w:rPr>
                <w:sz w:val="20"/>
                <w:szCs w:val="20"/>
                <w:color w:val="auto"/>
              </w:rPr>
            </w:pPr>
            <w:r>
              <w:rPr>
                <w:rFonts w:ascii="Arial" w:cs="Arial" w:eastAsia="Arial" w:hAnsi="Arial"/>
                <w:sz w:val="14"/>
                <w:szCs w:val="14"/>
                <w:i w:val="1"/>
                <w:iCs w:val="1"/>
                <w:color w:val="auto"/>
              </w:rPr>
              <w:t>7.5 %</w:t>
            </w:r>
          </w:p>
        </w:tc>
        <w:tc>
          <w:tcPr>
            <w:tcW w:w="64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7.2 %</w:t>
            </w:r>
          </w:p>
        </w:tc>
        <w:tc>
          <w:tcPr>
            <w:tcW w:w="200" w:type="dxa"/>
            <w:vAlign w:val="bottom"/>
          </w:tcPr>
          <w:p>
            <w:pPr>
              <w:spacing w:after="0"/>
              <w:rPr>
                <w:sz w:val="16"/>
                <w:szCs w:val="16"/>
                <w:color w:val="auto"/>
              </w:rPr>
            </w:pPr>
          </w:p>
        </w:tc>
        <w:tc>
          <w:tcPr>
            <w:tcW w:w="1140" w:type="dxa"/>
            <w:vAlign w:val="bottom"/>
          </w:tcPr>
          <w:p>
            <w:pPr>
              <w:ind w:left="760"/>
              <w:spacing w:after="0"/>
              <w:rPr>
                <w:sz w:val="20"/>
                <w:szCs w:val="20"/>
                <w:color w:val="auto"/>
              </w:rPr>
            </w:pPr>
            <w:r>
              <w:rPr>
                <w:rFonts w:ascii="Arial" w:cs="Arial" w:eastAsia="Arial" w:hAnsi="Arial"/>
                <w:sz w:val="14"/>
                <w:szCs w:val="14"/>
                <w:i w:val="1"/>
                <w:iCs w:val="1"/>
                <w:color w:val="auto"/>
              </w:rPr>
              <w:t>7.5 %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property, plant, and equipment</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9"/>
                <w:szCs w:val="19"/>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115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integration, restructuring and impairment costs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Depreciation included in restructuring and impairment costs</w:t>
            </w:r>
          </w:p>
        </w:tc>
        <w:tc>
          <w:tcPr>
            <w:tcW w:w="38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140" w:type="dxa"/>
            <w:vAlign w:val="bottom"/>
          </w:tcPr>
          <w:p>
            <w:pPr>
              <w:ind w:left="780"/>
              <w:spacing w:after="0"/>
              <w:rPr>
                <w:sz w:val="20"/>
                <w:szCs w:val="20"/>
                <w:color w:val="auto"/>
              </w:rPr>
            </w:pPr>
            <w:r>
              <w:rPr>
                <w:rFonts w:ascii="Arial" w:cs="Arial" w:eastAsia="Arial" w:hAnsi="Arial"/>
                <w:sz w:val="18"/>
                <w:szCs w:val="18"/>
                <w:color w:val="auto"/>
              </w:rPr>
              <w:t>(1)</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acquisition, integration, restructuring and impairment costs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Executive transition costs, net of recoveries</w:t>
            </w:r>
          </w:p>
        </w:tc>
        <w:tc>
          <w:tcPr>
            <w:tcW w:w="38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Costs related to the settlement of federal tax audits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operating income</w:t>
            </w:r>
            <w:r>
              <w:rPr>
                <w:rFonts w:ascii="Arial" w:cs="Arial" w:eastAsia="Arial" w:hAnsi="Arial"/>
                <w:sz w:val="23"/>
                <w:szCs w:val="23"/>
                <w:b w:val="1"/>
                <w:bCs w:val="1"/>
                <w:color w:val="auto"/>
                <w:vertAlign w:val="superscript"/>
              </w:rPr>
              <w:t>(1)</w:t>
            </w:r>
          </w:p>
        </w:tc>
        <w:tc>
          <w:tcPr>
            <w:tcW w:w="380" w:type="dxa"/>
            <w:vAlign w:val="bottom"/>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176</w:t>
            </w:r>
          </w:p>
        </w:tc>
        <w:tc>
          <w:tcPr>
            <w:tcW w:w="640" w:type="dxa"/>
            <w:vAlign w:val="bottom"/>
          </w:tcPr>
          <w:p>
            <w:pPr>
              <w:jc w:val="right"/>
              <w:ind w:right="39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702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705</w:t>
            </w:r>
          </w:p>
        </w:tc>
      </w:tr>
      <w:tr>
        <w:trPr>
          <w:trHeight w:val="195"/>
        </w:trPr>
        <w:tc>
          <w:tcPr>
            <w:tcW w:w="578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Adjusted operating income as a percentage of revenues</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10.2 %</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4"/>
                <w:szCs w:val="14"/>
                <w:i w:val="1"/>
                <w:iCs w:val="1"/>
                <w:color w:val="auto"/>
              </w:rPr>
              <w:t>9.6 %</w:t>
            </w:r>
          </w:p>
        </w:tc>
        <w:tc>
          <w:tcPr>
            <w:tcW w:w="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i w:val="1"/>
                <w:iCs w:val="1"/>
                <w:color w:val="auto"/>
              </w:rPr>
              <w:t>9.7 %</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i w:val="1"/>
                <w:iCs w:val="1"/>
                <w:color w:val="auto"/>
              </w:rPr>
              <w:t>9.4 %</w:t>
            </w:r>
          </w:p>
        </w:tc>
      </w:tr>
    </w:tbl>
    <w:p>
      <w:pPr>
        <w:spacing w:after="0" w:line="26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i w:val="1"/>
          <w:iCs w:val="1"/>
          <w:color w:val="auto"/>
        </w:rPr>
        <w:t>Adjusted operating income is a performance measure that primarily excludes the impact of non-recurring transactions and activities that we do not consider to be indicative of our ongoing operating performance. Adjusted operating income is calculated by taking operating income and excluding depreciation and amortization, acquisition, integration, restructuring, and impairment costs, and any other material non-recurring costs. Acquisition, integration, restructuring and impairment costs represent costs incurred related to acquisitions, reorganizations, facilities optimization efforts, and impairments of long-lived assets, along with associated depreciation. Recovery of acquisition, integration, restructuring and impairment costs represents costs recovered through our indirect rates in accordance with Cost Accounting Standards. Depreciation of property, plant, and equipment relates to property, plant, and equipment specifically identifiable for each segment and Corporate. Adjusted operating income also excludes amortization of intangible assets because we do not have a history of significant acquisition activity, and therefore consider acquisitions to be a non-recurring activity, and the amount of an acquisition's purchase price allocated to intangible assets and the related amortization term are unique to each acquisition. Executive transition costs, net of recoveries, represent costs associated with the departure of our CEO and other executives in the third quarter of the fiscal year 2026, net of the portion recovered through our indirect rates in accordance with Cost Accounting Standards. Costs related to the settlement of federal tax audits represent costs related to the IRS audit settlement for fiscal years 2016 through 2019. We believe that adjusted operating income provides management and investors with useful information in assessing trends in our ongoing operating performance and may provide greater visibility in understanding our long-term financial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Schedule 6 (continued):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EBITDA and Adjusted EBITDA</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5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30, 2026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31, 2025</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30, 2026</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31, 2025</w:t>
            </w:r>
          </w:p>
        </w:tc>
      </w:tr>
      <w:tr>
        <w:trPr>
          <w:trHeight w:val="193"/>
        </w:trPr>
        <w:tc>
          <w:tcPr>
            <w:tcW w:w="5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600"/>
              <w:spacing w:after="0"/>
              <w:rPr>
                <w:sz w:val="20"/>
                <w:szCs w:val="20"/>
                <w:color w:val="auto"/>
              </w:rPr>
            </w:pPr>
            <w:r>
              <w:rPr>
                <w:rFonts w:ascii="Arial" w:cs="Arial" w:eastAsia="Arial" w:hAnsi="Arial"/>
                <w:sz w:val="14"/>
                <w:szCs w:val="14"/>
                <w:color w:val="auto"/>
              </w:rPr>
              <w:t>(dollars in millions)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1,750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1,838</w:t>
            </w:r>
          </w:p>
        </w:tc>
        <w:tc>
          <w:tcPr>
            <w:tcW w:w="640" w:type="dxa"/>
            <w:vAlign w:val="bottom"/>
            <w:shd w:val="clear" w:color="auto" w:fill="CCEEFF"/>
          </w:tcPr>
          <w:p>
            <w:pPr>
              <w:jc w:val="right"/>
              <w:ind w:right="375"/>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7,262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7,479</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98</w:t>
            </w:r>
          </w:p>
        </w:tc>
        <w:tc>
          <w:tcPr>
            <w:tcW w:w="640" w:type="dxa"/>
            <w:vAlign w:val="bottom"/>
          </w:tcPr>
          <w:p>
            <w:pPr>
              <w:jc w:val="right"/>
              <w:ind w:right="37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b w:val="1"/>
                <w:bCs w:val="1"/>
                <w:color w:val="auto"/>
              </w:rPr>
              <w:t>358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362</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and loss on sale of receivables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140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140</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9"/>
                <w:szCs w:val="19"/>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66</w:t>
            </w: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40</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36</w:t>
            </w: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149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140</w:t>
            </w:r>
          </w:p>
        </w:tc>
      </w:tr>
      <w:tr>
        <w:trPr>
          <w:trHeight w:val="229"/>
        </w:trPr>
        <w:tc>
          <w:tcPr>
            <w:tcW w:w="57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3"/>
                <w:szCs w:val="23"/>
                <w:b w:val="1"/>
                <w:bCs w:val="1"/>
                <w:color w:val="auto"/>
                <w:vertAlign w:val="superscript"/>
              </w:rPr>
              <w:t>(1)</w:t>
            </w:r>
          </w:p>
        </w:tc>
        <w:tc>
          <w:tcPr>
            <w:tcW w:w="36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spacing w:after="0"/>
              <w:rPr>
                <w:sz w:val="19"/>
                <w:szCs w:val="19"/>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175</w:t>
            </w:r>
          </w:p>
        </w:tc>
        <w:tc>
          <w:tcPr>
            <w:tcW w:w="64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b w:val="1"/>
                <w:bCs w:val="1"/>
                <w:color w:val="auto"/>
              </w:rPr>
              <w:t>676</w:t>
            </w: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708</w:t>
            </w:r>
          </w:p>
        </w:tc>
      </w:tr>
      <w:tr>
        <w:trPr>
          <w:trHeight w:val="195"/>
        </w:trPr>
        <w:tc>
          <w:tcPr>
            <w:tcW w:w="5760" w:type="dxa"/>
            <w:vAlign w:val="bottom"/>
          </w:tcPr>
          <w:p>
            <w:pPr>
              <w:ind w:left="140"/>
              <w:spacing w:after="0"/>
              <w:rPr>
                <w:sz w:val="20"/>
                <w:szCs w:val="20"/>
                <w:color w:val="auto"/>
              </w:rPr>
            </w:pPr>
            <w:r>
              <w:rPr>
                <w:rFonts w:ascii="Arial" w:cs="Arial" w:eastAsia="Arial" w:hAnsi="Arial"/>
                <w:sz w:val="14"/>
                <w:szCs w:val="14"/>
                <w:i w:val="1"/>
                <w:iCs w:val="1"/>
                <w:color w:val="auto"/>
              </w:rPr>
              <w:t>EBITDA as a percentage of revenues</w:t>
            </w:r>
          </w:p>
        </w:tc>
        <w:tc>
          <w:tcPr>
            <w:tcW w:w="360" w:type="dxa"/>
            <w:vAlign w:val="bottom"/>
          </w:tcPr>
          <w:p>
            <w:pPr>
              <w:spacing w:after="0"/>
              <w:rPr>
                <w:sz w:val="16"/>
                <w:szCs w:val="16"/>
                <w:color w:val="auto"/>
              </w:rPr>
            </w:pPr>
          </w:p>
        </w:tc>
        <w:tc>
          <w:tcPr>
            <w:tcW w:w="960" w:type="dxa"/>
            <w:vAlign w:val="bottom"/>
          </w:tcPr>
          <w:p>
            <w:pPr>
              <w:jc w:val="center"/>
              <w:ind w:left="294"/>
              <w:spacing w:after="0"/>
              <w:rPr>
                <w:sz w:val="20"/>
                <w:szCs w:val="20"/>
                <w:color w:val="auto"/>
              </w:rPr>
            </w:pPr>
            <w:r>
              <w:rPr>
                <w:rFonts w:ascii="Arial" w:cs="Arial" w:eastAsia="Arial" w:hAnsi="Arial"/>
                <w:sz w:val="14"/>
                <w:szCs w:val="14"/>
                <w:b w:val="1"/>
                <w:bCs w:val="1"/>
                <w:i w:val="1"/>
                <w:iCs w:val="1"/>
                <w:color w:val="auto"/>
              </w:rPr>
              <w:t>10.0 %</w:t>
            </w:r>
          </w:p>
        </w:tc>
        <w:tc>
          <w:tcPr>
            <w:tcW w:w="200" w:type="dxa"/>
            <w:vAlign w:val="bottom"/>
          </w:tcPr>
          <w:p>
            <w:pPr>
              <w:spacing w:after="0"/>
              <w:rPr>
                <w:sz w:val="16"/>
                <w:szCs w:val="16"/>
                <w:color w:val="auto"/>
              </w:rPr>
            </w:pPr>
          </w:p>
        </w:tc>
        <w:tc>
          <w:tcPr>
            <w:tcW w:w="1200" w:type="dxa"/>
            <w:vAlign w:val="bottom"/>
          </w:tcPr>
          <w:p>
            <w:pPr>
              <w:ind w:left="760"/>
              <w:spacing w:after="0"/>
              <w:rPr>
                <w:sz w:val="20"/>
                <w:szCs w:val="20"/>
                <w:color w:val="auto"/>
              </w:rPr>
            </w:pPr>
            <w:r>
              <w:rPr>
                <w:rFonts w:ascii="Arial" w:cs="Arial" w:eastAsia="Arial" w:hAnsi="Arial"/>
                <w:sz w:val="14"/>
                <w:szCs w:val="14"/>
                <w:i w:val="1"/>
                <w:iCs w:val="1"/>
                <w:color w:val="auto"/>
              </w:rPr>
              <w:t>9.5 %</w:t>
            </w:r>
          </w:p>
        </w:tc>
        <w:tc>
          <w:tcPr>
            <w:tcW w:w="64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9.3 %</w:t>
            </w:r>
          </w:p>
        </w:tc>
        <w:tc>
          <w:tcPr>
            <w:tcW w:w="180" w:type="dxa"/>
            <w:vAlign w:val="bottom"/>
          </w:tcPr>
          <w:p>
            <w:pPr>
              <w:spacing w:after="0"/>
              <w:rPr>
                <w:sz w:val="16"/>
                <w:szCs w:val="16"/>
                <w:color w:val="auto"/>
              </w:rPr>
            </w:pPr>
          </w:p>
        </w:tc>
        <w:tc>
          <w:tcPr>
            <w:tcW w:w="1140" w:type="dxa"/>
            <w:vAlign w:val="bottom"/>
          </w:tcPr>
          <w:p>
            <w:pPr>
              <w:ind w:left="760"/>
              <w:spacing w:after="0"/>
              <w:rPr>
                <w:sz w:val="20"/>
                <w:szCs w:val="20"/>
                <w:color w:val="auto"/>
              </w:rPr>
            </w:pPr>
            <w:r>
              <w:rPr>
                <w:rFonts w:ascii="Arial" w:cs="Arial" w:eastAsia="Arial" w:hAnsi="Arial"/>
                <w:sz w:val="14"/>
                <w:szCs w:val="14"/>
                <w:i w:val="1"/>
                <w:iCs w:val="1"/>
                <w:color w:val="auto"/>
              </w:rPr>
              <w:t>9.5 %</w:t>
            </w:r>
          </w:p>
        </w:tc>
      </w:tr>
      <w:tr>
        <w:trPr>
          <w:trHeight w:val="23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integration, restructuring and impairment costs</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Depreciation included in restructuring and impairment costs</w:t>
            </w:r>
          </w:p>
        </w:tc>
        <w:tc>
          <w:tcPr>
            <w:tcW w:w="360" w:type="dxa"/>
            <w:vAlign w:val="bottom"/>
          </w:tcPr>
          <w:p>
            <w:pPr>
              <w:spacing w:after="0"/>
              <w:rPr>
                <w:sz w:val="19"/>
                <w:szCs w:val="19"/>
                <w:color w:val="auto"/>
              </w:rPr>
            </w:pPr>
          </w:p>
        </w:tc>
        <w:tc>
          <w:tcPr>
            <w:tcW w:w="960" w:type="dxa"/>
            <w:vAlign w:val="bottom"/>
          </w:tcPr>
          <w:p>
            <w:pPr>
              <w:jc w:val="center"/>
              <w:ind w:left="254"/>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Pr>
          <w:p>
            <w:pPr>
              <w:spacing w:after="0"/>
              <w:rPr>
                <w:sz w:val="19"/>
                <w:szCs w:val="19"/>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140" w:type="dxa"/>
            <w:vAlign w:val="bottom"/>
          </w:tcPr>
          <w:p>
            <w:pPr>
              <w:ind w:left="780"/>
              <w:spacing w:after="0"/>
              <w:rPr>
                <w:sz w:val="20"/>
                <w:szCs w:val="20"/>
                <w:color w:val="auto"/>
              </w:rPr>
            </w:pPr>
            <w:r>
              <w:rPr>
                <w:rFonts w:ascii="Arial" w:cs="Arial" w:eastAsia="Arial" w:hAnsi="Arial"/>
                <w:sz w:val="18"/>
                <w:szCs w:val="18"/>
                <w:color w:val="auto"/>
              </w:rPr>
              <w:t>(1)</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acquisition, integration, restructuring and impairment costs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54"/>
              <w:spacing w:after="0"/>
              <w:rPr>
                <w:sz w:val="20"/>
                <w:szCs w:val="20"/>
                <w:color w:val="auto"/>
              </w:rPr>
            </w:pPr>
            <w:r>
              <w:rPr>
                <w:rFonts w:ascii="Arial" w:cs="Arial" w:eastAsia="Arial" w:hAnsi="Arial"/>
                <w:sz w:val="18"/>
                <w:szCs w:val="18"/>
                <w:b w:val="1"/>
                <w:bCs w:val="1"/>
                <w:color w:val="auto"/>
                <w:w w:val="99"/>
              </w:rPr>
              <w:t>(4)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Executive transition costs, net of recoveries</w:t>
            </w:r>
          </w:p>
        </w:tc>
        <w:tc>
          <w:tcPr>
            <w:tcW w:w="36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Costs related to the settlement of federal tax audits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7</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360" w:type="dxa"/>
            <w:vAlign w:val="bottom"/>
          </w:tcPr>
          <w:p>
            <w:pPr>
              <w:jc w:val="right"/>
              <w:ind w:right="155"/>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4"/>
              <w:spacing w:after="0"/>
              <w:rPr>
                <w:sz w:val="20"/>
                <w:szCs w:val="20"/>
                <w:color w:val="auto"/>
              </w:rPr>
            </w:pPr>
            <w:r>
              <w:rPr>
                <w:rFonts w:ascii="Arial" w:cs="Arial" w:eastAsia="Arial" w:hAnsi="Arial"/>
                <w:sz w:val="18"/>
                <w:szCs w:val="18"/>
                <w:b w:val="1"/>
                <w:bCs w:val="1"/>
                <w:color w:val="auto"/>
              </w:rPr>
              <w:t>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177</w:t>
            </w:r>
          </w:p>
        </w:tc>
        <w:tc>
          <w:tcPr>
            <w:tcW w:w="640" w:type="dxa"/>
            <w:vAlign w:val="bottom"/>
          </w:tcPr>
          <w:p>
            <w:pPr>
              <w:jc w:val="right"/>
              <w:ind w:right="375"/>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74"/>
              <w:spacing w:after="0"/>
              <w:rPr>
                <w:sz w:val="20"/>
                <w:szCs w:val="20"/>
                <w:color w:val="auto"/>
              </w:rPr>
            </w:pPr>
            <w:r>
              <w:rPr>
                <w:rFonts w:ascii="Arial" w:cs="Arial" w:eastAsia="Arial" w:hAnsi="Arial"/>
                <w:sz w:val="18"/>
                <w:szCs w:val="18"/>
                <w:b w:val="1"/>
                <w:bCs w:val="1"/>
                <w:color w:val="auto"/>
              </w:rPr>
              <w:t>708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710</w:t>
            </w:r>
          </w:p>
        </w:tc>
      </w:tr>
      <w:tr>
        <w:trPr>
          <w:trHeight w:val="195"/>
        </w:trPr>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Adjusted EBITDA as a percentage of revenues</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94"/>
              <w:spacing w:after="0"/>
              <w:rPr>
                <w:sz w:val="20"/>
                <w:szCs w:val="20"/>
                <w:color w:val="auto"/>
              </w:rPr>
            </w:pPr>
            <w:r>
              <w:rPr>
                <w:rFonts w:ascii="Arial" w:cs="Arial" w:eastAsia="Arial" w:hAnsi="Arial"/>
                <w:sz w:val="14"/>
                <w:szCs w:val="14"/>
                <w:b w:val="1"/>
                <w:bCs w:val="1"/>
                <w:i w:val="1"/>
                <w:iCs w:val="1"/>
                <w:color w:val="auto"/>
              </w:rPr>
              <w:t>10.3 %</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4"/>
                <w:szCs w:val="14"/>
                <w:i w:val="1"/>
                <w:iCs w:val="1"/>
                <w:color w:val="auto"/>
              </w:rPr>
              <w:t>9.6 %</w:t>
            </w: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i w:val="1"/>
                <w:iCs w:val="1"/>
                <w:color w:val="auto"/>
              </w:rPr>
              <w:t>9.7 %</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i w:val="1"/>
                <w:iCs w:val="1"/>
                <w:color w:val="auto"/>
              </w:rPr>
              <w:t>9.5 %</w:t>
            </w:r>
          </w:p>
        </w:tc>
      </w:tr>
    </w:tbl>
    <w:p>
      <w:pPr>
        <w:spacing w:after="0" w:line="263"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The performance measure EBITDA is calculated by taking net income and excluding interest and loss on sale of receivables, provision for income taxes, and depreciation and amortization. Adjusted EBITDA is a performance measure that excludes the impact of non-recurring transactions and activities that we do not consider to be indicative of our ongoing operating performance. Adjusted EBITDA is calculated by taking EBITDA and excluding acquisition, integration, restructuring and impairment costs, and any other material non-recurring costs. Acquisition, integration, restructuring and impairment costs represent costs incurred related to acquisitions, reorganizations, facilities optimization efforts, and impairments of long-lived assets, along with associated depreciation. Recovery of acquisition, integration, restructuring and impairment costs represents costs recovered through our indirect rates in accordance with Cost Accounting Standards. Executive transition costs, net of recoveries, represent costs associated with the departure of our CEO and other executives in the third quarter of the fiscal year 2026, net of the portion recovered through our indirect rates in accordance with Cost Accounting Standards. Costs related to the settlement of federal tax audits represent costs related to the IRS audit settlement for fiscal years 2016 through 2019. We believe that EBITDA and adjusted EBITDA provide management and investors with useful information in assessing trends in our ongoing operating performance and may provide greater visibility in understanding the long-term financial performance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20"/>
          </w:cols>
          <w:pgMar w:left="320" w:top="110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Schedule 6 (continued):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Diluted Earnings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5"/>
          </w:tcPr>
          <w:p>
            <w:pPr>
              <w:jc w:val="right"/>
              <w:ind w:right="645"/>
              <w:spacing w:after="0"/>
              <w:rPr>
                <w:sz w:val="20"/>
                <w:szCs w:val="20"/>
                <w:color w:val="auto"/>
              </w:rPr>
            </w:pPr>
            <w:r>
              <w:rPr>
                <w:rFonts w:ascii="Arial" w:cs="Arial" w:eastAsia="Arial" w:hAnsi="Arial"/>
                <w:sz w:val="16"/>
                <w:szCs w:val="16"/>
                <w:b w:val="1"/>
                <w:bCs w:val="1"/>
                <w:color w:val="auto"/>
              </w:rPr>
              <w:t>Three Months Ended January 30, 2026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5"/>
              <w:spacing w:after="0"/>
              <w:rPr>
                <w:sz w:val="20"/>
                <w:szCs w:val="20"/>
                <w:color w:val="auto"/>
              </w:rPr>
            </w:pPr>
            <w:r>
              <w:rPr>
                <w:rFonts w:ascii="Arial" w:cs="Arial" w:eastAsia="Arial" w:hAnsi="Arial"/>
                <w:sz w:val="13"/>
                <w:szCs w:val="13"/>
                <w:color w:val="auto"/>
              </w:rPr>
              <w:t>Amortization of</w:t>
            </w:r>
          </w:p>
        </w:tc>
        <w:tc>
          <w:tcPr>
            <w:tcW w:w="146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Acquisition, integration,</w:t>
            </w:r>
          </w:p>
        </w:tc>
        <w:tc>
          <w:tcPr>
            <w:tcW w:w="140" w:type="dxa"/>
            <w:vAlign w:val="bottom"/>
          </w:tcPr>
          <w:p>
            <w:pPr>
              <w:spacing w:after="0"/>
              <w:rPr>
                <w:sz w:val="10"/>
                <w:szCs w:val="10"/>
                <w:color w:val="auto"/>
              </w:rPr>
            </w:pPr>
          </w:p>
        </w:tc>
        <w:tc>
          <w:tcPr>
            <w:tcW w:w="1400" w:type="dxa"/>
            <w:vAlign w:val="bottom"/>
          </w:tcPr>
          <w:p>
            <w:pPr>
              <w:jc w:val="right"/>
              <w:spacing w:after="0" w:line="115" w:lineRule="exact"/>
              <w:rPr>
                <w:sz w:val="20"/>
                <w:szCs w:val="20"/>
                <w:color w:val="auto"/>
              </w:rPr>
            </w:pPr>
            <w:r>
              <w:rPr>
                <w:rFonts w:ascii="Arial" w:cs="Arial" w:eastAsia="Arial" w:hAnsi="Arial"/>
                <w:sz w:val="13"/>
                <w:szCs w:val="13"/>
                <w:color w:val="auto"/>
                <w:w w:val="95"/>
              </w:rPr>
              <w:t>Recovery of acquisition,</w:t>
            </w:r>
          </w:p>
        </w:tc>
        <w:tc>
          <w:tcPr>
            <w:tcW w:w="3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3"/>
                <w:szCs w:val="13"/>
                <w:b w:val="1"/>
                <w:bCs w:val="1"/>
                <w:color w:val="auto"/>
              </w:rPr>
              <w:t>As Reported</w:t>
            </w: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154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integration, restructuring</w:t>
            </w:r>
          </w:p>
        </w:tc>
        <w:tc>
          <w:tcPr>
            <w:tcW w:w="3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color w:val="auto"/>
              </w:rPr>
              <w:t>intangible assets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and impairment costs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40" w:type="dxa"/>
            <w:vAlign w:val="bottom"/>
            <w:gridSpan w:val="5"/>
          </w:tcPr>
          <w:p>
            <w:pPr>
              <w:jc w:val="right"/>
              <w:ind w:right="885"/>
              <w:spacing w:after="0"/>
              <w:rPr>
                <w:sz w:val="20"/>
                <w:szCs w:val="20"/>
                <w:color w:val="auto"/>
              </w:rPr>
            </w:pPr>
            <w:r>
              <w:rPr>
                <w:rFonts w:ascii="Arial" w:cs="Arial" w:eastAsia="Arial" w:hAnsi="Arial"/>
                <w:sz w:val="14"/>
                <w:szCs w:val="14"/>
                <w:color w:val="auto"/>
              </w:rPr>
              <w:t>(in millions, except per share amounts)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99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32</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85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119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1.87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0.60</w:t>
            </w:r>
          </w:p>
        </w:tc>
        <w:tc>
          <w:tcPr>
            <w:tcW w:w="3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6"/>
                <w:szCs w:val="16"/>
                <w:b w:val="1"/>
                <w:bCs w:val="1"/>
                <w:color w:val="auto"/>
              </w:rPr>
              <w:t>Three Months Ended January 31, 2025</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spacing w:after="0" w:line="124" w:lineRule="exact"/>
              <w:rPr>
                <w:sz w:val="20"/>
                <w:szCs w:val="20"/>
                <w:color w:val="auto"/>
              </w:rPr>
            </w:pPr>
            <w:r>
              <w:rPr>
                <w:rFonts w:ascii="Arial" w:cs="Arial" w:eastAsia="Arial" w:hAnsi="Arial"/>
                <w:sz w:val="13"/>
                <w:szCs w:val="13"/>
                <w:color w:val="auto"/>
              </w:rPr>
              <w:t>Recovery of</w:t>
            </w: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spacing w:after="0" w:line="126" w:lineRule="exact"/>
              <w:rPr>
                <w:sz w:val="20"/>
                <w:szCs w:val="20"/>
                <w:color w:val="auto"/>
              </w:rPr>
            </w:pPr>
            <w:r>
              <w:rPr>
                <w:rFonts w:ascii="Arial" w:cs="Arial" w:eastAsia="Arial" w:hAnsi="Arial"/>
                <w:sz w:val="13"/>
                <w:szCs w:val="13"/>
                <w:color w:val="auto"/>
              </w:rPr>
              <w:t>Acquisition,</w:t>
            </w:r>
          </w:p>
        </w:tc>
        <w:tc>
          <w:tcPr>
            <w:tcW w:w="24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3"/>
                <w:szCs w:val="13"/>
                <w:color w:val="auto"/>
              </w:rPr>
              <w:t>acquisition,</w:t>
            </w: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5"/>
              <w:spacing w:after="0"/>
              <w:rPr>
                <w:sz w:val="20"/>
                <w:szCs w:val="20"/>
                <w:color w:val="auto"/>
              </w:rPr>
            </w:pPr>
            <w:r>
              <w:rPr>
                <w:rFonts w:ascii="Arial" w:cs="Arial" w:eastAsia="Arial" w:hAnsi="Arial"/>
                <w:sz w:val="13"/>
                <w:szCs w:val="13"/>
                <w:color w:val="auto"/>
              </w:rPr>
              <w:t>Amortization of</w:t>
            </w:r>
          </w:p>
        </w:tc>
        <w:tc>
          <w:tcPr>
            <w:tcW w:w="2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integration,</w:t>
            </w:r>
          </w:p>
        </w:tc>
        <w:tc>
          <w:tcPr>
            <w:tcW w:w="2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integration,</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3"/>
              <w:spacing w:after="0"/>
              <w:rPr>
                <w:sz w:val="20"/>
                <w:szCs w:val="20"/>
                <w:color w:val="auto"/>
              </w:rPr>
            </w:pPr>
            <w:r>
              <w:rPr>
                <w:rFonts w:ascii="Arial" w:cs="Arial" w:eastAsia="Arial" w:hAnsi="Arial"/>
                <w:sz w:val="13"/>
                <w:szCs w:val="13"/>
                <w:b w:val="1"/>
                <w:bCs w:val="1"/>
                <w:color w:val="auto"/>
              </w:rPr>
              <w:t>As Reported</w:t>
            </w:r>
          </w:p>
        </w:tc>
        <w:tc>
          <w:tcPr>
            <w:tcW w:w="2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24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Non-GAAP results</w:t>
            </w:r>
            <w:r>
              <w:rPr>
                <w:rFonts w:ascii="Arial" w:cs="Arial" w:eastAsia="Arial" w:hAnsi="Arial"/>
                <w:sz w:val="16"/>
                <w:szCs w:val="16"/>
                <w:b w:val="1"/>
                <w:bCs w:val="1"/>
                <w:color w:val="auto"/>
                <w:w w:val="99"/>
                <w:vertAlign w:val="superscript"/>
              </w:rPr>
              <w:t>(1)</w:t>
            </w: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color w:val="auto"/>
              </w:rPr>
              <w:t>intangible assets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40" w:type="dxa"/>
            <w:vAlign w:val="bottom"/>
            <w:gridSpan w:val="5"/>
          </w:tcPr>
          <w:p>
            <w:pPr>
              <w:jc w:val="right"/>
              <w:ind w:right="749"/>
              <w:spacing w:after="0"/>
              <w:rPr>
                <w:sz w:val="20"/>
                <w:szCs w:val="20"/>
                <w:color w:val="auto"/>
              </w:rPr>
            </w:pPr>
            <w:r>
              <w:rPr>
                <w:rFonts w:ascii="Arial" w:cs="Arial" w:eastAsia="Arial" w:hAnsi="Arial"/>
                <w:sz w:val="14"/>
                <w:szCs w:val="14"/>
                <w:color w:val="auto"/>
              </w:rPr>
              <w:t>(in millions, except per share amounts)</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107</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w:t>
            </w:r>
          </w:p>
        </w:tc>
        <w:tc>
          <w:tcPr>
            <w:tcW w:w="520" w:type="dxa"/>
            <w:vAlign w:val="bottom"/>
            <w:shd w:val="clear" w:color="auto" w:fill="CCEEFF"/>
          </w:tcPr>
          <w:p>
            <w:pPr>
              <w:jc w:val="right"/>
              <w:ind w:right="304"/>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98</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2.00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0.53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0.06</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(0.02)</w:t>
            </w:r>
          </w:p>
        </w:tc>
        <w:tc>
          <w:tcPr>
            <w:tcW w:w="5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i w:val="1"/>
          <w:iCs w:val="1"/>
          <w:color w:val="auto"/>
        </w:rPr>
        <w:t>Adjusted diluted earnings per share is a performance measure that excludes the impact of non-recurring transactions that we do not consider to be indicative of our ongoing operating performance. Adjusted diluted earnings per share is calculated by taking diluted earnings per share and excluding amortization of intangible assets, acquisition, integration, restructuring, and impairment costs, and any other material non-recurring costs. Acquisition, integration, restructuring and impairment costs represent costs incurred related to acquisitions, reorganizations, facilities optimization efforts, and impairments of long-lived assets, along with associated depreciation. Recovery of acquisition, integration, restructuring and impairment costs represents costs recovered through our indirect rates in accordance with Cost Accounting Standards. Adjusted diluted earnings per share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We believe that adjusted diluted earnings per share provides management and investors with useful information in assessing trends in our ongoing operating performance and may provide greater visibility in understanding the long-term financial performance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10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Schedule 6 (continued):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Diluted Earnings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5"/>
          </w:tcPr>
          <w:p>
            <w:pPr>
              <w:jc w:val="right"/>
              <w:ind w:right="767"/>
              <w:spacing w:after="0"/>
              <w:rPr>
                <w:sz w:val="20"/>
                <w:szCs w:val="20"/>
                <w:color w:val="auto"/>
              </w:rPr>
            </w:pPr>
            <w:r>
              <w:rPr>
                <w:rFonts w:ascii="Arial" w:cs="Arial" w:eastAsia="Arial" w:hAnsi="Arial"/>
                <w:sz w:val="16"/>
                <w:szCs w:val="16"/>
                <w:b w:val="1"/>
                <w:bCs w:val="1"/>
                <w:color w:val="auto"/>
              </w:rPr>
              <w:t>Year Ended January 30, 2026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spacing w:after="0" w:line="115" w:lineRule="exact"/>
              <w:rPr>
                <w:sz w:val="20"/>
                <w:szCs w:val="20"/>
                <w:color w:val="auto"/>
              </w:rPr>
            </w:pPr>
            <w:r>
              <w:rPr>
                <w:rFonts w:ascii="Arial" w:cs="Arial" w:eastAsia="Arial" w:hAnsi="Arial"/>
                <w:sz w:val="13"/>
                <w:szCs w:val="13"/>
                <w:color w:val="auto"/>
              </w:rPr>
              <w:t>Recovery of</w:t>
            </w: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Acquisition,</w:t>
            </w:r>
          </w:p>
        </w:tc>
        <w:tc>
          <w:tcPr>
            <w:tcW w:w="2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acquisition,</w:t>
            </w:r>
          </w:p>
        </w:tc>
        <w:tc>
          <w:tcPr>
            <w:tcW w:w="180" w:type="dxa"/>
            <w:vAlign w:val="bottom"/>
          </w:tcPr>
          <w:p>
            <w:pPr>
              <w:spacing w:after="0"/>
              <w:rPr>
                <w:sz w:val="11"/>
                <w:szCs w:val="11"/>
                <w:color w:val="auto"/>
              </w:rPr>
            </w:pPr>
          </w:p>
        </w:tc>
        <w:tc>
          <w:tcPr>
            <w:tcW w:w="1280" w:type="dxa"/>
            <w:vAlign w:val="bottom"/>
            <w:vMerge w:val="restart"/>
          </w:tcPr>
          <w:p>
            <w:pPr>
              <w:jc w:val="right"/>
              <w:ind w:right="67"/>
              <w:spacing w:after="0"/>
              <w:rPr>
                <w:sz w:val="20"/>
                <w:szCs w:val="20"/>
                <w:color w:val="auto"/>
              </w:rPr>
            </w:pPr>
            <w:r>
              <w:rPr>
                <w:rFonts w:ascii="Arial" w:cs="Arial" w:eastAsia="Arial" w:hAnsi="Arial"/>
                <w:sz w:val="13"/>
                <w:szCs w:val="13"/>
                <w:color w:val="auto"/>
                <w:w w:val="99"/>
              </w:rPr>
              <w:t>Executive transition</w:t>
            </w:r>
          </w:p>
        </w:tc>
        <w:tc>
          <w:tcPr>
            <w:tcW w:w="200" w:type="dxa"/>
            <w:vAlign w:val="bottom"/>
          </w:tcPr>
          <w:p>
            <w:pPr>
              <w:spacing w:after="0"/>
              <w:rPr>
                <w:sz w:val="11"/>
                <w:szCs w:val="11"/>
                <w:color w:val="auto"/>
              </w:rPr>
            </w:pPr>
          </w:p>
        </w:tc>
        <w:tc>
          <w:tcPr>
            <w:tcW w:w="1320" w:type="dxa"/>
            <w:vAlign w:val="bottom"/>
            <w:vMerge w:val="restart"/>
          </w:tcPr>
          <w:p>
            <w:pPr>
              <w:jc w:val="right"/>
              <w:ind w:right="67"/>
              <w:spacing w:after="0"/>
              <w:rPr>
                <w:sz w:val="20"/>
                <w:szCs w:val="20"/>
                <w:color w:val="auto"/>
              </w:rPr>
            </w:pPr>
            <w:r>
              <w:rPr>
                <w:rFonts w:ascii="Arial" w:cs="Arial" w:eastAsia="Arial" w:hAnsi="Arial"/>
                <w:sz w:val="13"/>
                <w:szCs w:val="13"/>
                <w:color w:val="auto"/>
              </w:rPr>
              <w:t>Costs related to the</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ind w:right="5"/>
              <w:spacing w:after="0"/>
              <w:rPr>
                <w:sz w:val="20"/>
                <w:szCs w:val="20"/>
                <w:color w:val="auto"/>
              </w:rPr>
            </w:pPr>
            <w:r>
              <w:rPr>
                <w:rFonts w:ascii="Arial" w:cs="Arial" w:eastAsia="Arial" w:hAnsi="Arial"/>
                <w:sz w:val="13"/>
                <w:szCs w:val="13"/>
                <w:color w:val="auto"/>
              </w:rPr>
              <w:t>Amortization of</w:t>
            </w:r>
          </w:p>
        </w:tc>
        <w:tc>
          <w:tcPr>
            <w:tcW w:w="2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integration,</w:t>
            </w:r>
          </w:p>
        </w:tc>
        <w:tc>
          <w:tcPr>
            <w:tcW w:w="2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integration,</w:t>
            </w:r>
          </w:p>
        </w:tc>
        <w:tc>
          <w:tcPr>
            <w:tcW w:w="1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2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180" w:type="dxa"/>
            <w:vAlign w:val="bottom"/>
          </w:tcPr>
          <w:p>
            <w:pPr>
              <w:spacing w:after="0"/>
              <w:rPr>
                <w:sz w:val="10"/>
                <w:szCs w:val="10"/>
                <w:color w:val="auto"/>
              </w:rPr>
            </w:pPr>
          </w:p>
        </w:tc>
        <w:tc>
          <w:tcPr>
            <w:tcW w:w="1280" w:type="dxa"/>
            <w:vAlign w:val="bottom"/>
          </w:tcPr>
          <w:p>
            <w:pPr>
              <w:jc w:val="right"/>
              <w:ind w:right="67"/>
              <w:spacing w:after="0" w:line="122" w:lineRule="exact"/>
              <w:rPr>
                <w:sz w:val="20"/>
                <w:szCs w:val="20"/>
                <w:color w:val="auto"/>
              </w:rPr>
            </w:pPr>
            <w:r>
              <w:rPr>
                <w:rFonts w:ascii="Arial" w:cs="Arial" w:eastAsia="Arial" w:hAnsi="Arial"/>
                <w:sz w:val="13"/>
                <w:szCs w:val="13"/>
                <w:color w:val="auto"/>
              </w:rPr>
              <w:t>costs, net of</w:t>
            </w:r>
          </w:p>
        </w:tc>
        <w:tc>
          <w:tcPr>
            <w:tcW w:w="200" w:type="dxa"/>
            <w:vAlign w:val="bottom"/>
          </w:tcPr>
          <w:p>
            <w:pPr>
              <w:spacing w:after="0"/>
              <w:rPr>
                <w:sz w:val="10"/>
                <w:szCs w:val="10"/>
                <w:color w:val="auto"/>
              </w:rPr>
            </w:pPr>
          </w:p>
        </w:tc>
        <w:tc>
          <w:tcPr>
            <w:tcW w:w="1320" w:type="dxa"/>
            <w:vAlign w:val="bottom"/>
          </w:tcPr>
          <w:p>
            <w:pPr>
              <w:jc w:val="right"/>
              <w:ind w:right="67"/>
              <w:spacing w:after="0" w:line="122" w:lineRule="exact"/>
              <w:rPr>
                <w:sz w:val="20"/>
                <w:szCs w:val="20"/>
                <w:color w:val="auto"/>
              </w:rPr>
            </w:pPr>
            <w:r>
              <w:rPr>
                <w:rFonts w:ascii="Arial" w:cs="Arial" w:eastAsia="Arial" w:hAnsi="Arial"/>
                <w:sz w:val="13"/>
                <w:szCs w:val="13"/>
                <w:color w:val="auto"/>
                <w:w w:val="98"/>
              </w:rPr>
              <w:t>settlement of federal</w:t>
            </w:r>
          </w:p>
        </w:tc>
        <w:tc>
          <w:tcPr>
            <w:tcW w:w="2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color w:val="auto"/>
              </w:rPr>
              <w:t>intangible assets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color w:val="auto"/>
              </w:rPr>
              <w:t>recoveries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color w:val="auto"/>
              </w:rPr>
              <w:t>tax audits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5"/>
          </w:tcPr>
          <w:p>
            <w:pPr>
              <w:jc w:val="right"/>
              <w:ind w:right="647"/>
              <w:spacing w:after="0"/>
              <w:rPr>
                <w:sz w:val="20"/>
                <w:szCs w:val="20"/>
                <w:color w:val="auto"/>
              </w:rPr>
            </w:pPr>
            <w:r>
              <w:rPr>
                <w:rFonts w:ascii="Arial" w:cs="Arial" w:eastAsia="Arial" w:hAnsi="Arial"/>
                <w:sz w:val="14"/>
                <w:szCs w:val="14"/>
                <w:color w:val="auto"/>
              </w:rPr>
              <w:t>(in millions, except per share amounts)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539</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109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500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2.34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0.33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0.34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0.15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5"/>
          </w:tcPr>
          <w:p>
            <w:pPr>
              <w:jc w:val="right"/>
              <w:ind w:right="1005"/>
              <w:spacing w:after="0"/>
              <w:rPr>
                <w:sz w:val="20"/>
                <w:szCs w:val="20"/>
                <w:color w:val="auto"/>
              </w:rPr>
            </w:pPr>
            <w:r>
              <w:rPr>
                <w:rFonts w:ascii="Arial" w:cs="Arial" w:eastAsia="Arial" w:hAnsi="Arial"/>
                <w:sz w:val="16"/>
                <w:szCs w:val="16"/>
                <w:b w:val="1"/>
                <w:bCs w:val="1"/>
                <w:color w:val="auto"/>
              </w:rPr>
              <w:t>Year Ended January 31, 2025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Amortization of</w:t>
            </w:r>
          </w:p>
        </w:tc>
        <w:tc>
          <w:tcPr>
            <w:tcW w:w="14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Acquisition, integration,</w:t>
            </w:r>
          </w:p>
        </w:tc>
        <w:tc>
          <w:tcPr>
            <w:tcW w:w="160" w:type="dxa"/>
            <w:vAlign w:val="bottom"/>
          </w:tcPr>
          <w:p>
            <w:pPr>
              <w:spacing w:after="0"/>
              <w:rPr>
                <w:sz w:val="10"/>
                <w:szCs w:val="10"/>
                <w:color w:val="auto"/>
              </w:rPr>
            </w:pPr>
          </w:p>
        </w:tc>
        <w:tc>
          <w:tcPr>
            <w:tcW w:w="1400" w:type="dxa"/>
            <w:vAlign w:val="bottom"/>
          </w:tcPr>
          <w:p>
            <w:pPr>
              <w:jc w:val="right"/>
              <w:spacing w:after="0" w:line="115" w:lineRule="exact"/>
              <w:rPr>
                <w:sz w:val="20"/>
                <w:szCs w:val="20"/>
                <w:color w:val="auto"/>
              </w:rPr>
            </w:pPr>
            <w:r>
              <w:rPr>
                <w:rFonts w:ascii="Arial" w:cs="Arial" w:eastAsia="Arial" w:hAnsi="Arial"/>
                <w:sz w:val="13"/>
                <w:szCs w:val="13"/>
                <w:color w:val="auto"/>
                <w:w w:val="95"/>
              </w:rPr>
              <w:t>Recovery of acquisition,</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22"/>
        </w:trPr>
        <w:tc>
          <w:tcPr>
            <w:tcW w:w="4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color w:val="auto"/>
              </w:rPr>
              <w:t>restructuring and</w:t>
            </w:r>
          </w:p>
        </w:tc>
        <w:tc>
          <w:tcPr>
            <w:tcW w:w="156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integration, restructuring</w:t>
            </w:r>
          </w:p>
        </w:tc>
        <w:tc>
          <w:tcPr>
            <w:tcW w:w="3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intangible assets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impairment costs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and impairment costs</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results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gridSpan w:val="5"/>
          </w:tcPr>
          <w:p>
            <w:pPr>
              <w:jc w:val="right"/>
              <w:ind w:right="885"/>
              <w:spacing w:after="0"/>
              <w:rPr>
                <w:sz w:val="20"/>
                <w:szCs w:val="20"/>
                <w:color w:val="auto"/>
              </w:rPr>
            </w:pPr>
            <w:r>
              <w:rPr>
                <w:rFonts w:ascii="Arial" w:cs="Arial" w:eastAsia="Arial" w:hAnsi="Arial"/>
                <w:sz w:val="14"/>
                <w:szCs w:val="14"/>
                <w:color w:val="auto"/>
              </w:rPr>
              <w:t>(in millions, except per share amounts)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546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(66)</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35"/>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97</w:t>
            </w:r>
          </w:p>
        </w:tc>
        <w:tc>
          <w:tcPr>
            <w:tcW w:w="3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461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7.17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1.92</w:t>
            </w:r>
          </w:p>
        </w:tc>
        <w:tc>
          <w:tcPr>
            <w:tcW w:w="3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0.10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(0.06)</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9.13</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i w:val="1"/>
          <w:iCs w:val="1"/>
          <w:color w:val="auto"/>
        </w:rPr>
        <w:t>Adjusted diluted earnings per share is a performance measure that excludes the impact of non-recurring transactions that we do not consider to be indicative of our ongoing operating performance. Adjusted diluted earnings per share is calculated by taking diluted earnings per share and excluding amortization of intangible assets, acquisition, integration, restructuring, and impairment costs, and any other material non-recurring costs. Acquisition, integration, restructuring and impairment costs represent costs incurred related to acquisitions, reorganizations, facilities optimization efforts, and impairments of long-lived assets, along with associated depreciation. Recovery of acquisition, integration, restructuring and impairment costs represents costs recovered through our indirect rates in accordance with Cost Accounting Standards. Adjusted diluted earnings per share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Executive transition costs, net of recoveries, represent costs associated with the departure of our CEO and other executives in the third quarter of the fiscal year 2026, net of the portion recovered through our indirect rates in accordance with Cost Accounting Standards. Costs related to the settlement of federal tax audits represent costs related to the IRS audit settlement for fiscal years 2016 through 2019. We believe that adjusted diluted earnings per share provides management and investors with useful information in assessing trends in our ongoing operating performance and may provide greater visibility in understanding the long-term financial performance of the Company.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240"/>
          </w:cols>
          <w:pgMar w:left="320" w:top="10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Schedule 6 (continued):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7"/>
        </w:trPr>
        <w:tc>
          <w:tcPr>
            <w:tcW w:w="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January 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January 30,</w:t>
            </w:r>
          </w:p>
        </w:tc>
        <w:tc>
          <w:tcPr>
            <w:tcW w:w="4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January 31,</w:t>
            </w:r>
          </w:p>
        </w:tc>
        <w:tc>
          <w:tcPr>
            <w:tcW w:w="40" w:type="dxa"/>
            <w:vAlign w:val="bottom"/>
          </w:tcPr>
          <w:p>
            <w:pPr>
              <w:spacing w:after="0"/>
              <w:rPr>
                <w:sz w:val="12"/>
                <w:szCs w:val="12"/>
                <w:color w:val="auto"/>
              </w:rPr>
            </w:pPr>
          </w:p>
        </w:tc>
      </w:tr>
      <w:tr>
        <w:trPr>
          <w:trHeight w:val="185"/>
        </w:trPr>
        <w:tc>
          <w:tcPr>
            <w:tcW w:w="40" w:type="dxa"/>
            <w:vAlign w:val="bottom"/>
          </w:tcPr>
          <w:p>
            <w:pPr>
              <w:spacing w:after="0"/>
              <w:rPr>
                <w:sz w:val="16"/>
                <w:szCs w:val="16"/>
                <w:color w:val="auto"/>
              </w:rPr>
            </w:pPr>
          </w:p>
        </w:tc>
        <w:tc>
          <w:tcPr>
            <w:tcW w:w="6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40" w:type="dxa"/>
            <w:vAlign w:val="bottom"/>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tcPr>
          <w:p>
            <w:pPr>
              <w:ind w:left="58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258</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609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b w:val="1"/>
                <w:bCs w:val="1"/>
                <w:color w:val="auto"/>
              </w:rPr>
              <w:t>(32)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used from (provided by) MARPA Facility</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86</w:t>
            </w: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2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336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577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19"/>
                <w:szCs w:val="19"/>
                <w:color w:val="auto"/>
              </w:rPr>
            </w:pPr>
          </w:p>
        </w:tc>
      </w:tr>
      <w:tr>
        <w:trPr>
          <w:trHeight w:val="761"/>
        </w:trPr>
        <w:tc>
          <w:tcPr>
            <w:tcW w:w="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center"/>
              <w:ind w:right="76"/>
              <w:spacing w:after="0"/>
              <w:rPr>
                <w:sz w:val="20"/>
                <w:szCs w:val="20"/>
                <w:color w:val="auto"/>
              </w:rPr>
            </w:pPr>
            <w:r>
              <w:rPr>
                <w:rFonts w:ascii="Arial" w:cs="Arial" w:eastAsia="Arial" w:hAnsi="Arial"/>
                <w:sz w:val="14"/>
                <w:szCs w:val="14"/>
                <w:b w:val="1"/>
                <w:bCs w:val="1"/>
                <w:color w:val="auto"/>
              </w:rPr>
              <w:t>FY27 Guidance</w:t>
            </w:r>
          </w:p>
        </w:tc>
        <w:tc>
          <w:tcPr>
            <w:tcW w:w="40" w:type="dxa"/>
            <w:vAlign w:val="bottom"/>
          </w:tcPr>
          <w:p>
            <w:pPr>
              <w:spacing w:after="0"/>
              <w:rPr>
                <w:sz w:val="24"/>
                <w:szCs w:val="24"/>
                <w:color w:val="auto"/>
              </w:rPr>
            </w:pPr>
          </w:p>
        </w:tc>
      </w:tr>
      <w:tr>
        <w:trPr>
          <w:trHeight w:val="201"/>
        </w:trPr>
        <w:tc>
          <w:tcPr>
            <w:tcW w:w="4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17"/>
                <w:szCs w:val="17"/>
                <w:color w:val="auto"/>
              </w:rPr>
            </w:pPr>
          </w:p>
        </w:tc>
      </w:tr>
      <w:tr>
        <w:trPr>
          <w:trHeight w:val="227"/>
        </w:trPr>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558"/>
              <w:spacing w:after="0"/>
              <w:rPr>
                <w:sz w:val="20"/>
                <w:szCs w:val="20"/>
                <w:color w:val="auto"/>
              </w:rPr>
            </w:pPr>
            <w:r>
              <w:rPr>
                <w:rFonts w:ascii="Arial" w:cs="Arial" w:eastAsia="Arial" w:hAnsi="Arial"/>
                <w:sz w:val="18"/>
                <w:szCs w:val="18"/>
                <w:b w:val="1"/>
                <w:bCs w:val="1"/>
                <w:color w:val="auto"/>
              </w:rPr>
              <w:t>&gt;$635M</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8"/>
                <w:szCs w:val="18"/>
                <w:color w:val="auto"/>
                <w:w w:val="99"/>
              </w:rPr>
              <w:t>Approximately $35M</w:t>
            </w:r>
          </w:p>
        </w:tc>
        <w:tc>
          <w:tcPr>
            <w:tcW w:w="40" w:type="dxa"/>
            <w:vAlign w:val="bottom"/>
            <w:tcBorders>
              <w:bottom w:val="single" w:sz="8" w:color="auto"/>
            </w:tcBorders>
          </w:tcPr>
          <w:p>
            <w:pPr>
              <w:spacing w:after="0"/>
              <w:rPr>
                <w:sz w:val="19"/>
                <w:szCs w:val="19"/>
                <w:color w:val="auto"/>
              </w:rPr>
            </w:pPr>
          </w:p>
        </w:tc>
      </w:tr>
      <w:tr>
        <w:trPr>
          <w:trHeight w:val="248"/>
        </w:trPr>
        <w:tc>
          <w:tcPr>
            <w:tcW w:w="6280" w:type="dxa"/>
            <w:vAlign w:val="bottom"/>
            <w:tcBorders>
              <w:bottom w:val="single" w:sz="8" w:color="auto"/>
            </w:tcBorders>
            <w:gridSpan w:val="2"/>
            <w:shd w:val="clear" w:color="auto" w:fill="CFF0FC"/>
          </w:tcPr>
          <w:p>
            <w:pPr>
              <w:ind w:left="20"/>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center"/>
              <w:ind w:left="558"/>
              <w:spacing w:after="0"/>
              <w:rPr>
                <w:sz w:val="20"/>
                <w:szCs w:val="20"/>
                <w:color w:val="auto"/>
              </w:rPr>
            </w:pPr>
            <w:r>
              <w:rPr>
                <w:rFonts w:ascii="Arial" w:cs="Arial" w:eastAsia="Arial" w:hAnsi="Arial"/>
                <w:sz w:val="18"/>
                <w:szCs w:val="18"/>
                <w:b w:val="1"/>
                <w:bCs w:val="1"/>
                <w:color w:val="auto"/>
              </w:rPr>
              <w:t>&gt;$600M</w:t>
            </w:r>
          </w:p>
        </w:tc>
        <w:tc>
          <w:tcPr>
            <w:tcW w:w="7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FF0FC"/>
              <w:bottom w:val="single" w:sz="8" w:color="auto"/>
            </w:tcBorders>
          </w:tcPr>
          <w:p>
            <w:pPr>
              <w:spacing w:after="0" w:line="20" w:lineRule="exact"/>
              <w:rPr>
                <w:sz w:val="1"/>
                <w:szCs w:val="1"/>
                <w:color w:val="auto"/>
              </w:rPr>
            </w:pPr>
          </w:p>
        </w:tc>
        <w:tc>
          <w:tcPr>
            <w:tcW w:w="62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i w:val="1"/>
          <w:iCs w:val="1"/>
          <w:color w:val="auto"/>
        </w:rPr>
        <w:t>Free cash flow is calculated by taking cash flows provided by operating activities less expenditures for property, plant, and equipment and less cash flows from our Master Accounts Receivable Purchasing Agreement (MARPA Facility) for the sale of certain designated eligible U.S. government receivables. Under the MARPA Facility, the Company can sell eligible receivables up to a maximum amount of $300 million. We believe that free cash flow provides management and investors with useful information in assessing trends in our cash flows and in comparing them to other peer companies, many of whom present similar non-GAAP liquidity measures. These measures should not be considered as a measure of residual cash flow available for discretionary purposes.</w:t>
      </w:r>
    </w:p>
    <w:p>
      <w:pPr>
        <w:spacing w:after="0" w:line="80"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Non-GAAP measure, see above for definition.</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2026-03-16T05:58:11Z</dcterms:created>
  <dcterms:modified xsi:type="dcterms:W3CDTF">2026-03-16T05:58:11Z</dcterms:modified>
</cp:coreProperties>
</file>