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June 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tbl>
      <w:tblPr>
        <w:tblW w:w="5649"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jc w:val="center"/>
        <w:rPr/>
      </w:pPr>
      <w:r>
        <w:rPr>
          <w:rFonts w:ascii="Arial;sans-serif" w:hAnsi="Arial;sans-serif"/>
          <w:b/>
          <w:color w:val="000000"/>
          <w:sz w:val="16"/>
        </w:rPr>
        <w:t>(Former name or former address if changed since last report.)</w:t>
      </w: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19" w:type="dxa"/>
        <w:jc w:val="center"/>
        <w:tblInd w:w="0" w:type="dxa"/>
        <w:tblLayout w:type="fixed"/>
        <w:tblCellMar>
          <w:top w:w="28" w:type="dxa"/>
          <w:left w:w="28" w:type="dxa"/>
          <w:bottom w:w="28" w:type="dxa"/>
          <w:right w:w="28" w:type="dxa"/>
        </w:tblCellMar>
      </w:tblPr>
      <w:tblGrid>
        <w:gridCol w:w="1378"/>
        <w:gridCol w:w="1209"/>
        <w:gridCol w:w="1223"/>
        <w:gridCol w:w="554"/>
        <w:gridCol w:w="554"/>
        <w:gridCol w:w="556"/>
        <w:gridCol w:w="1154"/>
        <w:gridCol w:w="1154"/>
        <w:gridCol w:w="1637"/>
      </w:tblGrid>
      <w:tr>
        <w:trPr/>
        <w:tc>
          <w:tcPr>
            <w:tcW w:w="13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$.0001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SAIC</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pPr>
      <w:r>
        <w:rPr>
          <w:rFonts w:ascii="Arial;sans-serif" w:hAnsi="Arial;sans-serif"/>
          <w:b/>
          <w:color w:val="000000"/>
          <w:sz w:val="20"/>
        </w:rPr>
        <w:t xml:space="preserve">Item 5.07. </w:t>
      </w:r>
      <w:r>
        <w:rPr>
          <w:rFonts w:ascii="Arial;sans-serif" w:hAnsi="Arial;sans-serif"/>
          <w:b/>
          <w:i/>
          <w:color w:val="000000"/>
          <w:sz w:val="20"/>
        </w:rPr>
        <w:t xml:space="preserve">Submission of Matters to a Vote of Security Holders.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Science Applications International Corporation (the “Company”) held its virtual Annual Meeting of Stockholders on June 3, 2026 (the “Annual Meeting”). The holders of 36,007,862 shares of common stock of the Company, or approximately 83.5% of the outstanding shares entitled to vote as of the record date for the Annual Meeting, were represented at the Annual Meeting in person or by proxy. The final voting results on each of the matters presented to stockholders for a vote is set forth below.</w:t>
      </w:r>
    </w:p>
    <w:p>
      <w:pPr>
        <w:pStyle w:val="TextBody"/>
        <w:bidi w:val="0"/>
        <w:spacing w:lineRule="auto" w:line="288" w:before="200" w:after="2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    The nominees to the Board of Directors of the Company were elected, each for a one-year term, based upon the following votes: </w:t>
      </w:r>
    </w:p>
    <w:tbl>
      <w:tblPr>
        <w:tblW w:w="9080" w:type="dxa"/>
        <w:jc w:val="center"/>
        <w:tblInd w:w="0" w:type="dxa"/>
        <w:tblLayout w:type="fixed"/>
        <w:tblCellMar>
          <w:top w:w="28" w:type="dxa"/>
          <w:left w:w="28" w:type="dxa"/>
          <w:bottom w:w="28" w:type="dxa"/>
          <w:right w:w="28" w:type="dxa"/>
        </w:tblCellMar>
      </w:tblPr>
      <w:tblGrid>
        <w:gridCol w:w="1179"/>
        <w:gridCol w:w="1036"/>
        <w:gridCol w:w="1039"/>
        <w:gridCol w:w="109"/>
        <w:gridCol w:w="109"/>
        <w:gridCol w:w="109"/>
        <w:gridCol w:w="354"/>
        <w:gridCol w:w="354"/>
        <w:gridCol w:w="358"/>
        <w:gridCol w:w="109"/>
        <w:gridCol w:w="109"/>
        <w:gridCol w:w="109"/>
        <w:gridCol w:w="318"/>
        <w:gridCol w:w="318"/>
        <w:gridCol w:w="325"/>
        <w:gridCol w:w="109"/>
        <w:gridCol w:w="109"/>
        <w:gridCol w:w="109"/>
        <w:gridCol w:w="264"/>
        <w:gridCol w:w="264"/>
        <w:gridCol w:w="268"/>
        <w:gridCol w:w="109"/>
        <w:gridCol w:w="109"/>
        <w:gridCol w:w="109"/>
        <w:gridCol w:w="495"/>
        <w:gridCol w:w="495"/>
        <w:gridCol w:w="705"/>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Votes</w:t>
            </w:r>
          </w:p>
        </w:tc>
      </w:tr>
      <w:tr>
        <w:trPr/>
        <w:tc>
          <w:tcPr>
            <w:tcW w:w="325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 Non-Votes</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Paul Eremenko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32,044,017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186,307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Carolyn B. Handlon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31,747,754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476,086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Katharina G. McFarland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29,330,892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2,901,477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Milford W. McGuirt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31,736,563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480,601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Donna S. Morea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30,409,337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1,837,586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James C. Reagan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32,027,997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224,777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Adm. Michael S. Rogers (USN Ret.)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32,057,329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Steven R. Shane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31,425,669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799,870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John K. Tien,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31,767,567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454,600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David J. 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31,976,461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255,517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bl>
    <w:p>
      <w:pPr>
        <w:pStyle w:val="TextBody"/>
        <w:bidi w:val="0"/>
        <w:spacing w:lineRule="auto" w:line="288" w:before="200" w:after="200"/>
        <w:ind w:left="0" w:right="0" w:hanging="360"/>
        <w:jc w:val="left"/>
        <w:rPr>
          <w:rFonts w:ascii="Arial;sans-serif" w:hAnsi="Arial;sans-serif"/>
          <w:b w:val="false"/>
          <w:color w:val="000000"/>
          <w:sz w:val="20"/>
        </w:rPr>
      </w:pPr>
      <w:r>
        <w:rPr>
          <w:rFonts w:ascii="Arial;sans-serif" w:hAnsi="Arial;sans-serif"/>
          <w:b w:val="false"/>
          <w:color w:val="000000"/>
          <w:sz w:val="20"/>
        </w:rPr>
        <w:t>2.    The proposal to approve, on a non-binding, advisory basis, the compensation of the named executive officers of the Company as disclosed in the Company’s Definitive Proxy Statement on Schedule 14A filed with the Securities and Exchange Commission on April 22, 2026 (or a say-on-pay vote) was approved based upon the following votes:</w:t>
      </w:r>
    </w:p>
    <w:tbl>
      <w:tblPr>
        <w:tblW w:w="4870" w:type="dxa"/>
        <w:jc w:val="center"/>
        <w:tblInd w:w="0" w:type="dxa"/>
        <w:tblLayout w:type="fixed"/>
        <w:tblCellMar>
          <w:top w:w="28" w:type="dxa"/>
          <w:left w:w="28" w:type="dxa"/>
          <w:bottom w:w="28" w:type="dxa"/>
          <w:right w:w="28" w:type="dxa"/>
        </w:tblCellMar>
      </w:tblPr>
      <w:tblGrid>
        <w:gridCol w:w="391"/>
        <w:gridCol w:w="343"/>
        <w:gridCol w:w="347"/>
        <w:gridCol w:w="109"/>
        <w:gridCol w:w="109"/>
        <w:gridCol w:w="109"/>
        <w:gridCol w:w="319"/>
        <w:gridCol w:w="319"/>
        <w:gridCol w:w="323"/>
        <w:gridCol w:w="109"/>
        <w:gridCol w:w="109"/>
        <w:gridCol w:w="109"/>
        <w:gridCol w:w="264"/>
        <w:gridCol w:w="264"/>
        <w:gridCol w:w="268"/>
        <w:gridCol w:w="109"/>
        <w:gridCol w:w="109"/>
        <w:gridCol w:w="109"/>
        <w:gridCol w:w="307"/>
        <w:gridCol w:w="307"/>
        <w:gridCol w:w="43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w:t>
              <w:br/>
              <w:t>Non-Votes</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30,733,789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1,292,248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306,752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bl>
    <w:p>
      <w:pPr>
        <w:pStyle w:val="TextBody"/>
        <w:bidi w:val="0"/>
        <w:spacing w:lineRule="auto" w:line="288" w:before="200" w:after="200"/>
        <w:ind w:left="0" w:right="0" w:hanging="360"/>
        <w:jc w:val="left"/>
        <w:rPr>
          <w:rFonts w:ascii="Arial;sans-serif" w:hAnsi="Arial;sans-serif"/>
          <w:b w:val="false"/>
          <w:color w:val="000000"/>
          <w:sz w:val="20"/>
        </w:rPr>
      </w:pPr>
      <w:r>
        <w:rPr>
          <w:rFonts w:ascii="Arial;sans-serif" w:hAnsi="Arial;sans-serif"/>
          <w:b w:val="false"/>
          <w:color w:val="000000"/>
          <w:sz w:val="20"/>
        </w:rPr>
        <w:t>3.    The proposal to approve, on a non-binding, advisory basis, the frequency of future Say-on-Pay votes was approved based upon the following votes:</w:t>
      </w:r>
    </w:p>
    <w:tbl>
      <w:tblPr>
        <w:tblW w:w="8464" w:type="dxa"/>
        <w:jc w:val="center"/>
        <w:tblInd w:w="0" w:type="dxa"/>
        <w:tblLayout w:type="fixed"/>
        <w:tblCellMar>
          <w:top w:w="28" w:type="dxa"/>
          <w:left w:w="28" w:type="dxa"/>
          <w:bottom w:w="28" w:type="dxa"/>
          <w:right w:w="28" w:type="dxa"/>
        </w:tblCellMar>
      </w:tblPr>
      <w:tblGrid>
        <w:gridCol w:w="509"/>
        <w:gridCol w:w="449"/>
        <w:gridCol w:w="451"/>
        <w:gridCol w:w="109"/>
        <w:gridCol w:w="109"/>
        <w:gridCol w:w="109"/>
        <w:gridCol w:w="629"/>
        <w:gridCol w:w="629"/>
        <w:gridCol w:w="632"/>
        <w:gridCol w:w="109"/>
        <w:gridCol w:w="109"/>
        <w:gridCol w:w="109"/>
        <w:gridCol w:w="679"/>
        <w:gridCol w:w="679"/>
        <w:gridCol w:w="682"/>
        <w:gridCol w:w="109"/>
        <w:gridCol w:w="109"/>
        <w:gridCol w:w="109"/>
        <w:gridCol w:w="255"/>
        <w:gridCol w:w="255"/>
        <w:gridCol w:w="256"/>
        <w:gridCol w:w="109"/>
        <w:gridCol w:w="109"/>
        <w:gridCol w:w="109"/>
        <w:gridCol w:w="307"/>
        <w:gridCol w:w="307"/>
        <w:gridCol w:w="437"/>
      </w:tblGrid>
      <w:tr>
        <w:trPr/>
        <w:tc>
          <w:tcPr>
            <w:tcW w:w="5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84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Votes</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Every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Every Two Years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Every Three Years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w:t>
              <w:br/>
              <w:t>Non-Votes</w:t>
            </w:r>
          </w:p>
        </w:tc>
      </w:tr>
      <w:tr>
        <w:trPr/>
        <w:tc>
          <w:tcPr>
            <w:tcW w:w="14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30,699,040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96,853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1,452,140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84,756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bl>
    <w:p>
      <w:pPr>
        <w:pStyle w:val="TextBody"/>
        <w:bidi w:val="0"/>
        <w:spacing w:lineRule="auto" w:line="247" w:before="200" w:after="200"/>
        <w:ind w:left="0" w:right="0" w:hanging="360"/>
        <w:jc w:val="left"/>
        <w:rPr>
          <w:rFonts w:ascii="Arial;sans-serif" w:hAnsi="Arial;sans-serif"/>
          <w:b w:val="false"/>
          <w:color w:val="000000"/>
          <w:sz w:val="20"/>
        </w:rPr>
      </w:pPr>
      <w:r>
        <w:rPr>
          <w:rFonts w:ascii="Arial;sans-serif" w:hAnsi="Arial;sans-serif"/>
          <w:b w:val="false"/>
          <w:color w:val="000000"/>
          <w:sz w:val="20"/>
        </w:rPr>
        <w:t>4.    The proposal to the Company's 2023 Equity Incentive Plan to increase the total number of authorized shares was approved based upon the following votes:</w:t>
      </w:r>
    </w:p>
    <w:tbl>
      <w:tblPr>
        <w:tblW w:w="4975" w:type="dxa"/>
        <w:jc w:val="center"/>
        <w:tblInd w:w="0" w:type="dxa"/>
        <w:tblLayout w:type="fixed"/>
        <w:tblCellMar>
          <w:top w:w="28" w:type="dxa"/>
          <w:left w:w="28" w:type="dxa"/>
          <w:bottom w:w="28" w:type="dxa"/>
          <w:right w:w="28" w:type="dxa"/>
        </w:tblCellMar>
      </w:tblPr>
      <w:tblGrid>
        <w:gridCol w:w="391"/>
        <w:gridCol w:w="343"/>
        <w:gridCol w:w="347"/>
        <w:gridCol w:w="109"/>
        <w:gridCol w:w="109"/>
        <w:gridCol w:w="109"/>
        <w:gridCol w:w="354"/>
        <w:gridCol w:w="354"/>
        <w:gridCol w:w="358"/>
        <w:gridCol w:w="109"/>
        <w:gridCol w:w="109"/>
        <w:gridCol w:w="109"/>
        <w:gridCol w:w="264"/>
        <w:gridCol w:w="264"/>
        <w:gridCol w:w="268"/>
        <w:gridCol w:w="109"/>
        <w:gridCol w:w="109"/>
        <w:gridCol w:w="109"/>
        <w:gridCol w:w="307"/>
        <w:gridCol w:w="307"/>
        <w:gridCol w:w="43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Broker</w:t>
              <w:br/>
              <w:t>Non-Votes</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21,668,812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10,528,961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135,016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3,675,073</w:t>
            </w:r>
          </w:p>
        </w:tc>
      </w:tr>
    </w:tbl>
    <w:p>
      <w:pPr>
        <w:pStyle w:val="TextBody"/>
        <w:bidi w:val="0"/>
        <w:spacing w:lineRule="auto" w:line="247" w:before="0" w:after="0"/>
        <w:ind w:left="0" w:right="0" w:hanging="360"/>
        <w:jc w:val="left"/>
        <w:rPr>
          <w:rFonts w:ascii="Arial;sans-serif" w:hAnsi="Arial;sans-serif"/>
          <w:b w:val="false"/>
          <w:color w:val="000000"/>
          <w:sz w:val="20"/>
        </w:rPr>
      </w:pPr>
      <w:r>
        <w:rPr>
          <w:rFonts w:ascii="Arial;sans-serif" w:hAnsi="Arial;sans-serif"/>
          <w:b w:val="false"/>
          <w:color w:val="000000"/>
          <w:sz w:val="20"/>
        </w:rPr>
        <w:t>5.    The proposal to ratify the appointment of Ernst &amp; Young LLP as the Company’s independent registered public accounting firm for the fiscal year ending January 29, 2027 was approved based upon the following votes:</w:t>
      </w:r>
    </w:p>
    <w:tbl>
      <w:tblPr>
        <w:tblW w:w="3342" w:type="dxa"/>
        <w:jc w:val="center"/>
        <w:tblInd w:w="0" w:type="dxa"/>
        <w:tblLayout w:type="fixed"/>
        <w:tblCellMar>
          <w:top w:w="28" w:type="dxa"/>
          <w:left w:w="28" w:type="dxa"/>
          <w:bottom w:w="28" w:type="dxa"/>
          <w:right w:w="28" w:type="dxa"/>
        </w:tblCellMar>
      </w:tblPr>
      <w:tblGrid>
        <w:gridCol w:w="391"/>
        <w:gridCol w:w="343"/>
        <w:gridCol w:w="347"/>
        <w:gridCol w:w="109"/>
        <w:gridCol w:w="109"/>
        <w:gridCol w:w="109"/>
        <w:gridCol w:w="264"/>
        <w:gridCol w:w="264"/>
        <w:gridCol w:w="268"/>
        <w:gridCol w:w="109"/>
        <w:gridCol w:w="109"/>
        <w:gridCol w:w="109"/>
        <w:gridCol w:w="237"/>
        <w:gridCol w:w="237"/>
        <w:gridCol w:w="33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Against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Abstain</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35,670,199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306,713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30,950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June 8,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bidi w:val="0"/>
        <w:spacing w:lineRule="auto" w:line="288" w:before="0" w:after="0"/>
        <w:jc w:val="left"/>
        <w:rPr>
          <w:color w:val="000000"/>
        </w:rPr>
      </w:pPr>
      <w:r>
        <w:rPr>
          <w:color w:val="000000"/>
        </w:rPr>
        <w:t> </w:t>
      </w:r>
    </w:p>
    <w:tbl>
      <w:tblPr>
        <w:tblW w:w="620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4409</Characters>
  <CharactersWithSpaces>5055</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