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169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Arial;sans-serif" w:hAnsi="Arial;sans-serif"/>
          <w:b w:val="false"/>
          <w:color w:val="000000"/>
          <w:sz w:val="36"/>
        </w:rPr>
      </w:pPr>
      <w:r>
        <w:rPr>
          <w:rFonts w:ascii="Arial;sans-serif" w:hAnsi="Arial;sans-serif"/>
          <w:b w:val="false"/>
          <w:color w:val="000000"/>
          <w:sz w:val="36"/>
        </w:rPr>
        <w:t>UNITED STATES</w:t>
      </w:r>
    </w:p>
    <w:p>
      <w:pPr>
        <w:pStyle w:val="TextBody"/>
        <w:bidi w:val="0"/>
        <w:spacing w:lineRule="auto" w:line="288" w:before="0" w:after="0"/>
        <w:jc w:val="center"/>
        <w:rPr>
          <w:rFonts w:ascii="Arial;sans-serif" w:hAnsi="Arial;sans-serif"/>
          <w:b w:val="false"/>
          <w:color w:val="000000"/>
          <w:sz w:val="36"/>
        </w:rPr>
      </w:pPr>
      <w:r>
        <w:rPr>
          <w:rFonts w:ascii="Arial;sans-serif" w:hAnsi="Arial;sans-serif"/>
          <w:b w:val="false"/>
          <w:color w:val="000000"/>
          <w:sz w:val="36"/>
        </w:rPr>
        <w:t>SECURITIES AND EXCHANGE COMMISSION</w:t>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Washington, D.C. 20549</w:t>
      </w:r>
    </w:p>
    <w:p>
      <w:pPr>
        <w:pStyle w:val="TextBody"/>
        <w:bidi w:val="0"/>
        <w:spacing w:lineRule="auto" w:line="288" w:before="120" w:after="283"/>
        <w:jc w:val="center"/>
        <w:rPr>
          <w:rFonts w:ascii="Times New Roman;serif" w:hAnsi="Times New Roman;serif"/>
          <w:b w:val="false"/>
          <w:color w:val="000000"/>
          <w:sz w:val="12"/>
        </w:rPr>
      </w:pPr>
      <w:r>
        <w:rPr>
          <w:rFonts w:ascii="Times New Roman;serif" w:hAnsi="Times New Roman;serif"/>
          <w:b w:val="false"/>
          <w:color w:val="000000"/>
          <w:sz w:val="12"/>
        </w:rPr>
        <w:t>_________________________________________________________</w:t>
      </w:r>
    </w:p>
    <w:p>
      <w:pPr>
        <w:pStyle w:val="TextBody"/>
        <w:bidi w:val="0"/>
        <w:spacing w:lineRule="auto" w:line="288" w:before="120" w:after="283"/>
        <w:jc w:val="center"/>
        <w:rPr>
          <w:rFonts w:ascii="Arial;sans-serif" w:hAnsi="Arial;sans-serif"/>
          <w:b w:val="false"/>
          <w:color w:val="000000"/>
          <w:sz w:val="36"/>
        </w:rPr>
      </w:pPr>
      <w:r>
        <w:rPr>
          <w:rFonts w:ascii="Arial;sans-serif" w:hAnsi="Arial;sans-serif"/>
          <w:b w:val="false"/>
          <w:color w:val="000000"/>
          <w:sz w:val="36"/>
        </w:rPr>
        <w:t xml:space="preserve">Form 8-K </w:t>
      </w:r>
    </w:p>
    <w:p>
      <w:pPr>
        <w:pStyle w:val="TextBody"/>
        <w:bidi w:val="0"/>
        <w:spacing w:lineRule="auto" w:line="288" w:before="120" w:after="283"/>
        <w:jc w:val="center"/>
        <w:rPr>
          <w:rFonts w:ascii="Times New Roman;serif" w:hAnsi="Times New Roman;serif"/>
          <w:b w:val="false"/>
          <w:color w:val="000000"/>
          <w:sz w:val="12"/>
        </w:rPr>
      </w:pPr>
      <w:r>
        <w:rPr>
          <w:rFonts w:ascii="Times New Roman;serif" w:hAnsi="Times New Roman;serif"/>
          <w:b w:val="false"/>
          <w:color w:val="000000"/>
          <w:sz w:val="12"/>
        </w:rPr>
        <w:t>_________________________________________________________</w:t>
      </w:r>
    </w:p>
    <w:p>
      <w:pPr>
        <w:pStyle w:val="TextBody"/>
        <w:bidi w:val="0"/>
        <w:spacing w:lineRule="auto" w:line="288" w:before="240" w:after="283"/>
        <w:jc w:val="center"/>
        <w:rPr>
          <w:rFonts w:ascii="Arial;sans-serif" w:hAnsi="Arial;sans-serif"/>
          <w:b/>
          <w:color w:val="000000"/>
          <w:sz w:val="24"/>
        </w:rPr>
      </w:pPr>
      <w:r>
        <w:rPr>
          <w:rFonts w:ascii="Arial;sans-serif" w:hAnsi="Arial;sans-serif"/>
          <w:b/>
          <w:color w:val="000000"/>
          <w:sz w:val="24"/>
        </w:rPr>
        <w:t>CURRENT REPORT</w:t>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Pursuant to Section 13 or 15(d)</w:t>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of the Securities Exchange Act of 1934</w:t>
      </w:r>
    </w:p>
    <w:p>
      <w:pPr>
        <w:pStyle w:val="TextBody"/>
        <w:bidi w:val="0"/>
        <w:spacing w:lineRule="auto" w:line="288" w:before="180" w:after="283"/>
        <w:jc w:val="center"/>
        <w:rPr>
          <w:rFonts w:ascii="Arial;sans-serif" w:hAnsi="Arial;sans-serif"/>
          <w:b/>
          <w:color w:val="000000"/>
          <w:sz w:val="24"/>
        </w:rPr>
      </w:pPr>
      <w:r>
        <w:rPr>
          <w:rFonts w:ascii="Arial;sans-serif" w:hAnsi="Arial;sans-serif"/>
          <w:b/>
          <w:color w:val="000000"/>
          <w:sz w:val="24"/>
        </w:rPr>
        <w:t>Date of Report (Date of earliest event reported): August 27, 2026</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12"/>
        </w:rPr>
      </w:pPr>
      <w:r>
        <w:rPr>
          <w:rFonts w:ascii="Times New Roman;serif" w:hAnsi="Times New Roman;serif"/>
          <w:b w:val="false"/>
          <w:color w:val="000000"/>
          <w:sz w:val="12"/>
        </w:rPr>
        <w:t>_________________________________________________________</w:t>
      </w:r>
    </w:p>
    <w:p>
      <w:pPr>
        <w:pStyle w:val="TextBody"/>
        <w:bidi w:val="0"/>
        <w:spacing w:lineRule="auto" w:line="288" w:before="60" w:after="283"/>
        <w:jc w:val="center"/>
        <w:rPr>
          <w:rFonts w:ascii="Arial;sans-serif" w:hAnsi="Arial;sans-serif"/>
          <w:b w:val="false"/>
          <w:color w:val="000000"/>
          <w:sz w:val="48"/>
        </w:rPr>
      </w:pPr>
      <w:r>
        <w:rPr>
          <w:rFonts w:ascii="Arial;sans-serif" w:hAnsi="Arial;sans-serif"/>
          <w:b w:val="false"/>
          <w:color w:val="000000"/>
          <w:sz w:val="48"/>
        </w:rPr>
        <w:t xml:space="preserve">Science Applications International Corporation </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(Exact name of registrant as specified in its charter)</w:t>
      </w:r>
    </w:p>
    <w:p>
      <w:pPr>
        <w:pStyle w:val="TextBody"/>
        <w:bidi w:val="0"/>
        <w:spacing w:lineRule="auto" w:line="288" w:before="120" w:after="283"/>
        <w:jc w:val="center"/>
        <w:rPr>
          <w:rFonts w:ascii="Times New Roman;serif" w:hAnsi="Times New Roman;serif"/>
          <w:b w:val="false"/>
          <w:color w:val="000000"/>
          <w:sz w:val="12"/>
        </w:rPr>
      </w:pPr>
      <w:r>
        <w:rPr>
          <w:rFonts w:ascii="Times New Roman;serif" w:hAnsi="Times New Roman;serif"/>
          <w:b w:val="false"/>
          <w:color w:val="000000"/>
          <w:sz w:val="12"/>
        </w:rPr>
        <w:t>_________________________________________________________</w:t>
      </w:r>
    </w:p>
    <w:tbl>
      <w:tblPr>
        <w:tblW w:w="5649" w:type="dxa"/>
        <w:jc w:val="center"/>
        <w:tblInd w:w="0" w:type="dxa"/>
        <w:tblLayout w:type="fixed"/>
        <w:tblCellMar>
          <w:top w:w="28" w:type="dxa"/>
          <w:left w:w="28" w:type="dxa"/>
          <w:bottom w:w="28" w:type="dxa"/>
          <w:right w:w="28" w:type="dxa"/>
        </w:tblCellMar>
      </w:tblPr>
      <w:tblGrid>
        <w:gridCol w:w="815"/>
        <w:gridCol w:w="714"/>
        <w:gridCol w:w="721"/>
        <w:gridCol w:w="109"/>
        <w:gridCol w:w="109"/>
        <w:gridCol w:w="109"/>
        <w:gridCol w:w="389"/>
        <w:gridCol w:w="389"/>
        <w:gridCol w:w="393"/>
        <w:gridCol w:w="109"/>
        <w:gridCol w:w="109"/>
        <w:gridCol w:w="109"/>
        <w:gridCol w:w="460"/>
        <w:gridCol w:w="460"/>
        <w:gridCol w:w="654"/>
      </w:tblGrid>
      <w:tr>
        <w:trPr/>
        <w:tc>
          <w:tcPr>
            <w:tcW w:w="815"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r>
      <w:tr>
        <w:trPr/>
        <w:tc>
          <w:tcPr>
            <w:tcW w:w="22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001-35832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46-1932921</w:t>
            </w:r>
          </w:p>
        </w:tc>
      </w:tr>
      <w:tr>
        <w:trPr/>
        <w:tc>
          <w:tcPr>
            <w:tcW w:w="22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(State or other Jurisdiction</w:t>
              <w:br/>
              <w:t>of 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(Commission</w:t>
              <w:br/>
              <w:t>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(IRS Employer</w:t>
              <w:br/>
              <w:t>Identification No.)</w:t>
            </w:r>
          </w:p>
        </w:tc>
      </w:tr>
    </w:tbl>
    <w:p>
      <w:pPr>
        <w:pStyle w:val="TextBody"/>
        <w:bidi w:val="0"/>
        <w:spacing w:lineRule="auto" w:line="288" w:before="140" w:after="283"/>
        <w:jc w:val="center"/>
        <w:rPr>
          <w:rFonts w:ascii="Arial;sans-serif" w:hAnsi="Arial;sans-serif"/>
          <w:b w:val="false"/>
          <w:color w:val="000000"/>
          <w:sz w:val="20"/>
        </w:rPr>
      </w:pPr>
      <w:r>
        <w:rPr>
          <w:rFonts w:ascii="Arial;sans-serif" w:hAnsi="Arial;sans-serif"/>
          <w:b w:val="false"/>
          <w:color w:val="000000"/>
          <w:sz w:val="20"/>
        </w:rPr>
        <w:t xml:space="preserve">12010 Sunset Hills Road, Reston, VA 20190 </w:t>
      </w:r>
    </w:p>
    <w:p>
      <w:pPr>
        <w:pStyle w:val="TextBody"/>
        <w:bidi w:val="0"/>
        <w:spacing w:lineRule="auto" w:line="288" w:before="0" w:after="0"/>
        <w:jc w:val="center"/>
        <w:rPr>
          <w:rFonts w:ascii="Arial;sans-serif" w:hAnsi="Arial;sans-serif"/>
          <w:b/>
          <w:color w:val="000000"/>
          <w:sz w:val="16"/>
        </w:rPr>
      </w:pPr>
      <w:r>
        <w:rPr>
          <w:rFonts w:ascii="Arial;sans-serif" w:hAnsi="Arial;sans-serif"/>
          <w:b/>
          <w:color w:val="000000"/>
          <w:sz w:val="16"/>
        </w:rPr>
        <w:t>(Address of Principal Executive Offices) (Zip Code)</w:t>
      </w:r>
    </w:p>
    <w:p>
      <w:pPr>
        <w:pStyle w:val="TextBody"/>
        <w:bidi w:val="0"/>
        <w:spacing w:lineRule="auto" w:line="288" w:before="200" w:after="283"/>
        <w:jc w:val="center"/>
        <w:rPr>
          <w:rFonts w:ascii="Arial;sans-serif" w:hAnsi="Arial;sans-serif"/>
          <w:b w:val="false"/>
          <w:color w:val="000000"/>
          <w:sz w:val="20"/>
        </w:rPr>
      </w:pPr>
      <w:r>
        <w:rPr>
          <w:rFonts w:ascii="Arial;sans-serif" w:hAnsi="Arial;sans-serif"/>
          <w:b w:val="false"/>
          <w:color w:val="000000"/>
          <w:sz w:val="20"/>
        </w:rPr>
        <w:t xml:space="preserve">(703) 676-4300 </w:t>
      </w:r>
    </w:p>
    <w:p>
      <w:pPr>
        <w:pStyle w:val="TextBody"/>
        <w:bidi w:val="0"/>
        <w:spacing w:lineRule="auto" w:line="288" w:before="0" w:after="0"/>
        <w:jc w:val="center"/>
        <w:rPr>
          <w:rFonts w:ascii="Arial;sans-serif" w:hAnsi="Arial;sans-serif"/>
          <w:b/>
          <w:color w:val="000000"/>
          <w:sz w:val="16"/>
        </w:rPr>
      </w:pPr>
      <w:r>
        <w:rPr>
          <w:rFonts w:ascii="Arial;sans-serif" w:hAnsi="Arial;sans-serif"/>
          <w:b/>
          <w:color w:val="000000"/>
          <w:sz w:val="16"/>
        </w:rPr>
        <w:t>Registrant’s telephone number, including area code</w:t>
      </w:r>
    </w:p>
    <w:p>
      <w:pPr>
        <w:pStyle w:val="TextBody"/>
        <w:bidi w:val="0"/>
        <w:spacing w:lineRule="auto" w:line="288" w:before="200" w:after="283"/>
        <w:jc w:val="center"/>
        <w:rPr>
          <w:rFonts w:ascii="Arial;sans-serif" w:hAnsi="Arial;sans-serif"/>
          <w:b w:val="false"/>
          <w:color w:val="000000"/>
          <w:sz w:val="20"/>
        </w:rPr>
      </w:pPr>
      <w:r>
        <w:rPr>
          <w:rFonts w:ascii="Arial;sans-serif" w:hAnsi="Arial;sans-serif"/>
          <w:b w:val="false"/>
          <w:color w:val="000000"/>
          <w:sz w:val="20"/>
        </w:rPr>
        <w:t>Not Applicable</w:t>
      </w:r>
    </w:p>
    <w:p>
      <w:pPr>
        <w:pStyle w:val="TextBody"/>
        <w:bidi w:val="0"/>
        <w:spacing w:lineRule="auto" w:line="288" w:before="0" w:after="0"/>
        <w:jc w:val="center"/>
        <w:rPr/>
      </w:pPr>
      <w:r>
        <w:rPr>
          <w:rFonts w:ascii="Arial;sans-serif" w:hAnsi="Arial;sans-serif"/>
          <w:b/>
          <w:color w:val="000000"/>
          <w:sz w:val="16"/>
        </w:rPr>
        <w:t>(Former name or former address if changed since last report.)</w:t>
      </w:r>
      <w:r>
        <w:rPr>
          <w:color w:val="000000"/>
        </w:rPr>
        <w:t> </w:t>
      </w:r>
    </w:p>
    <w:p>
      <w:pPr>
        <w:pStyle w:val="TextBody"/>
        <w:bidi w:val="0"/>
        <w:spacing w:lineRule="auto" w:line="288" w:before="200" w:after="283"/>
        <w:jc w:val="left"/>
        <w:rPr>
          <w:rFonts w:ascii="Arial;sans-serif" w:hAnsi="Arial;sans-serif"/>
          <w:b w:val="false"/>
          <w:color w:val="000000"/>
          <w:sz w:val="20"/>
        </w:rPr>
      </w:pPr>
      <w:r>
        <w:rPr>
          <w:rFonts w:ascii="Arial;sans-serif" w:hAnsi="Arial;sans-serif"/>
          <w:b w:val="false"/>
          <w:color w:val="000000"/>
          <w:sz w:val="20"/>
        </w:rPr>
        <w:t>Check the appropriate box below if the Form 8-K filing is intended to simultaneously satisfy the filing obligation of the registrant under any of the following provisions:</w:t>
      </w:r>
    </w:p>
    <w:tbl>
      <w:tblPr>
        <w:tblW w:w="8202" w:type="dxa"/>
        <w:jc w:val="left"/>
        <w:tblInd w:w="0" w:type="dxa"/>
        <w:tblLayout w:type="fixed"/>
        <w:tblCellMar>
          <w:top w:w="28" w:type="dxa"/>
          <w:left w:w="28" w:type="dxa"/>
          <w:bottom w:w="28" w:type="dxa"/>
          <w:right w:w="28" w:type="dxa"/>
        </w:tblCellMar>
      </w:tblPr>
      <w:tblGrid>
        <w:gridCol w:w="124"/>
        <w:gridCol w:w="109"/>
        <w:gridCol w:w="109"/>
        <w:gridCol w:w="2299"/>
        <w:gridCol w:w="2299"/>
        <w:gridCol w:w="326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9" w:type="dxa"/>
            <w:tcBorders/>
            <w:vAlign w:val="center"/>
          </w:tcPr>
          <w:p>
            <w:pPr>
              <w:pStyle w:val="TableContents"/>
              <w:bidi w:val="0"/>
              <w:spacing w:before="0" w:after="283"/>
              <w:jc w:val="left"/>
              <w:rPr>
                <w:sz w:val="4"/>
                <w:szCs w:val="4"/>
              </w:rPr>
            </w:pPr>
            <w:r>
              <w:rPr>
                <w:sz w:val="4"/>
                <w:szCs w:val="4"/>
              </w:rPr>
            </w:r>
          </w:p>
        </w:tc>
        <w:tc>
          <w:tcPr>
            <w:tcW w:w="2299" w:type="dxa"/>
            <w:tcBorders/>
            <w:vAlign w:val="center"/>
          </w:tcPr>
          <w:p>
            <w:pPr>
              <w:pStyle w:val="TableContents"/>
              <w:bidi w:val="0"/>
              <w:spacing w:before="0" w:after="283"/>
              <w:jc w:val="left"/>
              <w:rPr>
                <w:sz w:val="4"/>
                <w:szCs w:val="4"/>
              </w:rPr>
            </w:pPr>
            <w:r>
              <w:rPr>
                <w:sz w:val="4"/>
                <w:szCs w:val="4"/>
              </w:rPr>
            </w:r>
          </w:p>
        </w:tc>
        <w:tc>
          <w:tcPr>
            <w:tcW w:w="326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78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Written communications pursuant to Rule 425 under the Securities Act (17 CFR 230.425)</w:t>
            </w:r>
          </w:p>
        </w:tc>
      </w:tr>
    </w:tbl>
    <w:tbl>
      <w:tblPr>
        <w:tblW w:w="8186" w:type="dxa"/>
        <w:jc w:val="left"/>
        <w:tblInd w:w="0" w:type="dxa"/>
        <w:tblLayout w:type="fixed"/>
        <w:tblCellMar>
          <w:top w:w="28" w:type="dxa"/>
          <w:left w:w="28" w:type="dxa"/>
          <w:bottom w:w="28" w:type="dxa"/>
          <w:right w:w="28" w:type="dxa"/>
        </w:tblCellMar>
      </w:tblPr>
      <w:tblGrid>
        <w:gridCol w:w="124"/>
        <w:gridCol w:w="109"/>
        <w:gridCol w:w="109"/>
        <w:gridCol w:w="2297"/>
        <w:gridCol w:w="2297"/>
        <w:gridCol w:w="325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7" w:type="dxa"/>
            <w:tcBorders/>
            <w:vAlign w:val="center"/>
          </w:tcPr>
          <w:p>
            <w:pPr>
              <w:pStyle w:val="TableContents"/>
              <w:bidi w:val="0"/>
              <w:spacing w:before="0" w:after="283"/>
              <w:jc w:val="left"/>
              <w:rPr>
                <w:sz w:val="4"/>
                <w:szCs w:val="4"/>
              </w:rPr>
            </w:pPr>
            <w:r>
              <w:rPr>
                <w:sz w:val="4"/>
                <w:szCs w:val="4"/>
              </w:rPr>
            </w:r>
          </w:p>
        </w:tc>
        <w:tc>
          <w:tcPr>
            <w:tcW w:w="2297" w:type="dxa"/>
            <w:tcBorders/>
            <w:vAlign w:val="center"/>
          </w:tcPr>
          <w:p>
            <w:pPr>
              <w:pStyle w:val="TableContents"/>
              <w:bidi w:val="0"/>
              <w:spacing w:before="0" w:after="283"/>
              <w:jc w:val="left"/>
              <w:rPr>
                <w:sz w:val="4"/>
                <w:szCs w:val="4"/>
              </w:rPr>
            </w:pPr>
            <w:r>
              <w:rPr>
                <w:sz w:val="4"/>
                <w:szCs w:val="4"/>
              </w:rPr>
            </w:r>
          </w:p>
        </w:tc>
        <w:tc>
          <w:tcPr>
            <w:tcW w:w="325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78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Soliciting material pursuant to Rule 14a-12 under the Exchange Act (17 CFR 240.14a-12)</w:t>
            </w:r>
          </w:p>
        </w:tc>
      </w:tr>
    </w:tbl>
    <w:tbl>
      <w:tblPr>
        <w:tblW w:w="10122" w:type="dxa"/>
        <w:jc w:val="left"/>
        <w:tblInd w:w="0" w:type="dxa"/>
        <w:tblLayout w:type="fixed"/>
        <w:tblCellMar>
          <w:top w:w="28" w:type="dxa"/>
          <w:left w:w="28" w:type="dxa"/>
          <w:bottom w:w="28" w:type="dxa"/>
          <w:right w:w="28" w:type="dxa"/>
        </w:tblCellMar>
      </w:tblPr>
      <w:tblGrid>
        <w:gridCol w:w="124"/>
        <w:gridCol w:w="109"/>
        <w:gridCol w:w="109"/>
        <w:gridCol w:w="2865"/>
        <w:gridCol w:w="2865"/>
        <w:gridCol w:w="405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65" w:type="dxa"/>
            <w:tcBorders/>
            <w:vAlign w:val="center"/>
          </w:tcPr>
          <w:p>
            <w:pPr>
              <w:pStyle w:val="TableContents"/>
              <w:bidi w:val="0"/>
              <w:spacing w:before="0" w:after="283"/>
              <w:jc w:val="left"/>
              <w:rPr>
                <w:sz w:val="4"/>
                <w:szCs w:val="4"/>
              </w:rPr>
            </w:pPr>
            <w:r>
              <w:rPr>
                <w:sz w:val="4"/>
                <w:szCs w:val="4"/>
              </w:rPr>
            </w:r>
          </w:p>
        </w:tc>
        <w:tc>
          <w:tcPr>
            <w:tcW w:w="2865" w:type="dxa"/>
            <w:tcBorders/>
            <w:vAlign w:val="center"/>
          </w:tcPr>
          <w:p>
            <w:pPr>
              <w:pStyle w:val="TableContents"/>
              <w:bidi w:val="0"/>
              <w:spacing w:before="0" w:after="283"/>
              <w:jc w:val="left"/>
              <w:rPr>
                <w:sz w:val="4"/>
                <w:szCs w:val="4"/>
              </w:rPr>
            </w:pPr>
            <w:r>
              <w:rPr>
                <w:sz w:val="4"/>
                <w:szCs w:val="4"/>
              </w:rPr>
            </w:r>
          </w:p>
        </w:tc>
        <w:tc>
          <w:tcPr>
            <w:tcW w:w="405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780" w:type="dxa"/>
            <w:gridSpan w:val="3"/>
            <w:tcBorders/>
            <w:tcMar>
              <w:top w:w="0" w:type="dxa"/>
              <w:left w:w="0" w:type="dxa"/>
              <w:bottom w:w="0" w:type="dxa"/>
              <w:right w:w="0" w:type="dxa"/>
            </w:tcMar>
            <w:vAlign w:val="center"/>
          </w:tcPr>
          <w:p>
            <w:pPr>
              <w:pStyle w:val="TableContents"/>
              <w:bidi w:val="0"/>
              <w:spacing w:lineRule="auto" w:line="240" w:before="0" w:after="0"/>
              <w:ind w:left="0" w:right="0" w:hanging="90"/>
              <w:jc w:val="left"/>
              <w:rPr>
                <w:rFonts w:ascii="Arial;sans-serif" w:hAnsi="Arial;sans-serif"/>
                <w:b w:val="false"/>
                <w:color w:val="000000"/>
                <w:sz w:val="20"/>
              </w:rPr>
            </w:pPr>
            <w:r>
              <w:rPr>
                <w:rFonts w:ascii="Arial;sans-serif" w:hAnsi="Arial;sans-serif"/>
                <w:b w:val="false"/>
                <w:color w:val="000000"/>
                <w:sz w:val="20"/>
              </w:rPr>
              <w:t>Pre-commencement communications pursuant to Rule 14d-2(b) under the Exchange Act (17 CFR 240.14d-2(b))</w:t>
            </w:r>
          </w:p>
        </w:tc>
      </w:tr>
    </w:tbl>
    <w:tbl>
      <w:tblPr>
        <w:tblW w:w="10122" w:type="dxa"/>
        <w:jc w:val="left"/>
        <w:tblInd w:w="0" w:type="dxa"/>
        <w:tblLayout w:type="fixed"/>
        <w:tblCellMar>
          <w:top w:w="28" w:type="dxa"/>
          <w:left w:w="28" w:type="dxa"/>
          <w:bottom w:w="28" w:type="dxa"/>
          <w:right w:w="28" w:type="dxa"/>
        </w:tblCellMar>
      </w:tblPr>
      <w:tblGrid>
        <w:gridCol w:w="124"/>
        <w:gridCol w:w="109"/>
        <w:gridCol w:w="109"/>
        <w:gridCol w:w="2865"/>
        <w:gridCol w:w="2865"/>
        <w:gridCol w:w="405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65" w:type="dxa"/>
            <w:tcBorders/>
            <w:vAlign w:val="center"/>
          </w:tcPr>
          <w:p>
            <w:pPr>
              <w:pStyle w:val="TableContents"/>
              <w:bidi w:val="0"/>
              <w:spacing w:before="0" w:after="283"/>
              <w:jc w:val="left"/>
              <w:rPr>
                <w:sz w:val="4"/>
                <w:szCs w:val="4"/>
              </w:rPr>
            </w:pPr>
            <w:r>
              <w:rPr>
                <w:sz w:val="4"/>
                <w:szCs w:val="4"/>
              </w:rPr>
            </w:r>
          </w:p>
        </w:tc>
        <w:tc>
          <w:tcPr>
            <w:tcW w:w="2865" w:type="dxa"/>
            <w:tcBorders/>
            <w:vAlign w:val="center"/>
          </w:tcPr>
          <w:p>
            <w:pPr>
              <w:pStyle w:val="TableContents"/>
              <w:bidi w:val="0"/>
              <w:spacing w:before="0" w:after="283"/>
              <w:jc w:val="left"/>
              <w:rPr>
                <w:sz w:val="4"/>
                <w:szCs w:val="4"/>
              </w:rPr>
            </w:pPr>
            <w:r>
              <w:rPr>
                <w:sz w:val="4"/>
                <w:szCs w:val="4"/>
              </w:rPr>
            </w:r>
          </w:p>
        </w:tc>
        <w:tc>
          <w:tcPr>
            <w:tcW w:w="405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780" w:type="dxa"/>
            <w:gridSpan w:val="3"/>
            <w:tcBorders/>
            <w:tcMar>
              <w:top w:w="0" w:type="dxa"/>
              <w:left w:w="0" w:type="dxa"/>
              <w:bottom w:w="0" w:type="dxa"/>
              <w:right w:w="0" w:type="dxa"/>
            </w:tcMar>
            <w:vAlign w:val="center"/>
          </w:tcPr>
          <w:p>
            <w:pPr>
              <w:pStyle w:val="TableContents"/>
              <w:bidi w:val="0"/>
              <w:spacing w:lineRule="auto" w:line="240" w:before="0" w:after="0"/>
              <w:ind w:left="0" w:right="0" w:hanging="90"/>
              <w:jc w:val="left"/>
              <w:rPr>
                <w:rFonts w:ascii="Arial;sans-serif" w:hAnsi="Arial;sans-serif"/>
                <w:b w:val="false"/>
                <w:color w:val="000000"/>
                <w:sz w:val="20"/>
              </w:rPr>
            </w:pPr>
            <w:r>
              <w:rPr>
                <w:rFonts w:ascii="Arial;sans-serif" w:hAnsi="Arial;sans-serif"/>
                <w:b w:val="false"/>
                <w:color w:val="000000"/>
                <w:sz w:val="20"/>
              </w:rPr>
              <w:t>Pre-commencement communications pursuant to Rule 13e-4(c) under the Exchange Act (17 CFR 240.13e-4(c))</w:t>
            </w:r>
          </w:p>
        </w:tc>
      </w:tr>
    </w:tbl>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Securities registered pursuant to Section 12(b) of the Act:</w:t>
      </w:r>
    </w:p>
    <w:tbl>
      <w:tblPr>
        <w:tblW w:w="9419" w:type="dxa"/>
        <w:jc w:val="center"/>
        <w:tblInd w:w="0" w:type="dxa"/>
        <w:tblLayout w:type="fixed"/>
        <w:tblCellMar>
          <w:top w:w="28" w:type="dxa"/>
          <w:left w:w="28" w:type="dxa"/>
          <w:bottom w:w="28" w:type="dxa"/>
          <w:right w:w="28" w:type="dxa"/>
        </w:tblCellMar>
      </w:tblPr>
      <w:tblGrid>
        <w:gridCol w:w="1378"/>
        <w:gridCol w:w="1209"/>
        <w:gridCol w:w="1223"/>
        <w:gridCol w:w="554"/>
        <w:gridCol w:w="554"/>
        <w:gridCol w:w="556"/>
        <w:gridCol w:w="1154"/>
        <w:gridCol w:w="1154"/>
        <w:gridCol w:w="1637"/>
      </w:tblGrid>
      <w:tr>
        <w:trPr/>
        <w:tc>
          <w:tcPr>
            <w:tcW w:w="1378" w:type="dxa"/>
            <w:tcBorders/>
            <w:vAlign w:val="center"/>
          </w:tcPr>
          <w:p>
            <w:pPr>
              <w:pStyle w:val="TableContents"/>
              <w:bidi w:val="0"/>
              <w:spacing w:before="0" w:after="283"/>
              <w:jc w:val="left"/>
              <w:rPr>
                <w:sz w:val="4"/>
                <w:szCs w:val="4"/>
              </w:rPr>
            </w:pPr>
            <w:r>
              <w:rPr>
                <w:sz w:val="4"/>
                <w:szCs w:val="4"/>
              </w:rPr>
            </w:r>
          </w:p>
        </w:tc>
        <w:tc>
          <w:tcPr>
            <w:tcW w:w="1209" w:type="dxa"/>
            <w:tcBorders/>
            <w:vAlign w:val="center"/>
          </w:tcPr>
          <w:p>
            <w:pPr>
              <w:pStyle w:val="TableContents"/>
              <w:bidi w:val="0"/>
              <w:spacing w:before="0" w:after="283"/>
              <w:jc w:val="left"/>
              <w:rPr>
                <w:sz w:val="4"/>
                <w:szCs w:val="4"/>
              </w:rPr>
            </w:pPr>
            <w:r>
              <w:rPr>
                <w:sz w:val="4"/>
                <w:szCs w:val="4"/>
              </w:rPr>
            </w:r>
          </w:p>
        </w:tc>
        <w:tc>
          <w:tcPr>
            <w:tcW w:w="1223"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154" w:type="dxa"/>
            <w:tcBorders/>
            <w:vAlign w:val="center"/>
          </w:tcPr>
          <w:p>
            <w:pPr>
              <w:pStyle w:val="TableContents"/>
              <w:bidi w:val="0"/>
              <w:spacing w:before="0" w:after="283"/>
              <w:jc w:val="left"/>
              <w:rPr>
                <w:sz w:val="4"/>
                <w:szCs w:val="4"/>
              </w:rPr>
            </w:pPr>
            <w:r>
              <w:rPr>
                <w:sz w:val="4"/>
                <w:szCs w:val="4"/>
              </w:rPr>
            </w:r>
          </w:p>
        </w:tc>
        <w:tc>
          <w:tcPr>
            <w:tcW w:w="1154" w:type="dxa"/>
            <w:tcBorders/>
            <w:vAlign w:val="center"/>
          </w:tcPr>
          <w:p>
            <w:pPr>
              <w:pStyle w:val="TableContents"/>
              <w:bidi w:val="0"/>
              <w:spacing w:before="0" w:after="283"/>
              <w:jc w:val="left"/>
              <w:rPr>
                <w:sz w:val="4"/>
                <w:szCs w:val="4"/>
              </w:rPr>
            </w:pPr>
            <w:r>
              <w:rPr>
                <w:sz w:val="4"/>
                <w:szCs w:val="4"/>
              </w:rPr>
            </w:r>
          </w:p>
        </w:tc>
        <w:tc>
          <w:tcPr>
            <w:tcW w:w="1637" w:type="dxa"/>
            <w:tcBorders/>
            <w:vAlign w:val="center"/>
          </w:tcPr>
          <w:p>
            <w:pPr>
              <w:pStyle w:val="TableContents"/>
              <w:bidi w:val="0"/>
              <w:spacing w:before="0" w:after="283"/>
              <w:jc w:val="left"/>
              <w:rPr>
                <w:sz w:val="4"/>
                <w:szCs w:val="4"/>
              </w:rPr>
            </w:pPr>
            <w:r>
              <w:rPr>
                <w:sz w:val="4"/>
                <w:szCs w:val="4"/>
              </w:rPr>
            </w:r>
          </w:p>
        </w:tc>
      </w:tr>
      <w:tr>
        <w:trPr/>
        <w:tc>
          <w:tcPr>
            <w:tcW w:w="38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u w:val="single"/>
              </w:rPr>
            </w:pPr>
            <w:r>
              <w:rPr>
                <w:rFonts w:ascii="Arial;sans-serif" w:hAnsi="Arial;sans-serif"/>
                <w:b/>
                <w:color w:val="000000"/>
                <w:sz w:val="18"/>
                <w:u w:val="single"/>
              </w:rPr>
              <w:t>Title of each class</w:t>
            </w:r>
          </w:p>
        </w:tc>
        <w:tc>
          <w:tcPr>
            <w:tcW w:w="16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u w:val="single"/>
              </w:rPr>
            </w:pPr>
            <w:r>
              <w:rPr>
                <w:rFonts w:ascii="Arial;sans-serif" w:hAnsi="Arial;sans-serif"/>
                <w:b/>
                <w:color w:val="000000"/>
                <w:sz w:val="18"/>
                <w:u w:val="single"/>
              </w:rPr>
              <w:t>Trading Symbol(s)</w:t>
            </w:r>
          </w:p>
        </w:tc>
        <w:tc>
          <w:tcPr>
            <w:tcW w:w="39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u w:val="single"/>
              </w:rPr>
            </w:pPr>
            <w:r>
              <w:rPr>
                <w:rFonts w:ascii="Arial;sans-serif" w:hAnsi="Arial;sans-serif"/>
                <w:b/>
                <w:color w:val="000000"/>
                <w:sz w:val="18"/>
                <w:u w:val="single"/>
              </w:rPr>
              <w:t>Name of each exchange on which registered</w:t>
            </w:r>
          </w:p>
        </w:tc>
      </w:tr>
      <w:tr>
        <w:trPr/>
        <w:tc>
          <w:tcPr>
            <w:tcW w:w="38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Common Stock, par value $.0001 per share</w:t>
            </w:r>
          </w:p>
        </w:tc>
        <w:tc>
          <w:tcPr>
            <w:tcW w:w="16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SAIC</w:t>
            </w:r>
          </w:p>
        </w:tc>
        <w:tc>
          <w:tcPr>
            <w:tcW w:w="39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The Nasdaq Stock Market LLC</w:t>
            </w:r>
          </w:p>
        </w:tc>
      </w:tr>
    </w:tbl>
    <w:p>
      <w:pPr>
        <w:pStyle w:val="TextBody"/>
        <w:bidi w:val="0"/>
        <w:spacing w:lineRule="auto" w:line="288" w:before="200" w:after="283"/>
        <w:jc w:val="left"/>
        <w:rPr>
          <w:rFonts w:ascii="Arial;sans-serif" w:hAnsi="Arial;sans-serif"/>
          <w:b w:val="false"/>
          <w:color w:val="000000"/>
          <w:sz w:val="20"/>
        </w:rPr>
      </w:pPr>
      <w:r>
        <w:rPr>
          <w:rFonts w:ascii="Arial;sans-serif" w:hAnsi="Arial;sans-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8" w:before="120" w:after="283"/>
        <w:jc w:val="left"/>
        <w:rPr/>
      </w:pPr>
      <w:r>
        <w:rPr>
          <w:rFonts w:ascii="Arial;sans-serif" w:hAnsi="Arial;sans-serif"/>
          <w:b w:val="false"/>
          <w:color w:val="000000"/>
          <w:sz w:val="20"/>
        </w:rPr>
        <w:t xml:space="preserve">Emerging growth company </w:t>
      </w:r>
      <w:r>
        <w:rPr>
          <w:color w:val="000000"/>
        </w:rPr>
        <w:t>☐</w:t>
      </w:r>
    </w:p>
    <w:p>
      <w:pPr>
        <w:pStyle w:val="TextBody"/>
        <w:bidi w:val="0"/>
        <w:spacing w:lineRule="auto" w:line="288" w:before="120" w:after="283"/>
        <w:jc w:val="left"/>
        <w:rPr/>
      </w:pPr>
      <w:r>
        <w:rPr>
          <w:rFonts w:ascii="Arial;sans-serif" w:hAnsi="Arial;sans-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tbl>
      <w:tblPr>
        <w:tblW w:w="16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220" w:after="283"/>
        <w:jc w:val="left"/>
        <w:rPr/>
      </w:pPr>
      <w:r>
        <w:rPr>
          <w:rFonts w:ascii="Arial;sans-serif" w:hAnsi="Arial;sans-serif"/>
          <w:b/>
          <w:color w:val="000000"/>
          <w:sz w:val="20"/>
        </w:rPr>
        <w:t xml:space="preserve">Item 8.01. </w:t>
      </w:r>
      <w:r>
        <w:rPr>
          <w:rFonts w:ascii="Arial;sans-serif" w:hAnsi="Arial;sans-serif"/>
          <w:b/>
          <w:i/>
          <w:color w:val="000000"/>
          <w:sz w:val="20"/>
        </w:rPr>
        <w:t>Other Events</w:t>
      </w:r>
    </w:p>
    <w:p>
      <w:pPr>
        <w:pStyle w:val="TextBody"/>
        <w:bidi w:val="0"/>
        <w:spacing w:lineRule="auto" w:line="288" w:before="220" w:after="283"/>
        <w:jc w:val="left"/>
        <w:rPr>
          <w:rFonts w:ascii="Arial;sans-serif" w:hAnsi="Arial;sans-serif"/>
          <w:b w:val="false"/>
          <w:color w:val="000000"/>
          <w:sz w:val="20"/>
        </w:rPr>
      </w:pPr>
      <w:r>
        <w:rPr>
          <w:rFonts w:ascii="Arial;sans-serif" w:hAnsi="Arial;sans-serif"/>
          <w:b w:val="false"/>
          <w:color w:val="000000"/>
          <w:sz w:val="20"/>
        </w:rPr>
        <w:t xml:space="preserve">On August 27, 2026, the Company’s Board of Directors declared a cash dividend of $0.37 per share of the Company’s common stock payable on October 23, 2026 to stockholders of record on October 9, 2026. A copy of the Company’s press release is furnished as Exhibit 99.1 to this Current Report on Form 8-K and is incorporated herein by reference. </w:t>
      </w:r>
    </w:p>
    <w:p>
      <w:pPr>
        <w:pStyle w:val="TextBody"/>
        <w:bidi w:val="0"/>
        <w:spacing w:lineRule="auto" w:line="288" w:before="360" w:after="283"/>
        <w:jc w:val="left"/>
        <w:rPr/>
      </w:pPr>
      <w:r>
        <w:rPr>
          <w:rFonts w:ascii="Arial;sans-serif" w:hAnsi="Arial;sans-serif"/>
          <w:b/>
          <w:color w:val="000000"/>
          <w:sz w:val="20"/>
        </w:rPr>
        <w:t xml:space="preserve">Item 9.01. </w:t>
      </w:r>
      <w:r>
        <w:rPr>
          <w:rFonts w:ascii="Arial;sans-serif" w:hAnsi="Arial;sans-serif"/>
          <w:b/>
          <w:i/>
          <w:color w:val="000000"/>
          <w:sz w:val="20"/>
        </w:rPr>
        <w:t>Financial Statements and Exhibits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(d) Exhibits.</w:t>
      </w:r>
    </w:p>
    <w:p>
      <w:pPr>
        <w:pStyle w:val="TextBody"/>
        <w:bidi w:val="0"/>
        <w:spacing w:lineRule="auto" w:line="288" w:before="0" w:after="0"/>
        <w:jc w:val="left"/>
        <w:rPr>
          <w:color w:val="000000"/>
        </w:rPr>
      </w:pPr>
      <w:r>
        <w:rPr>
          <w:color w:val="000000"/>
        </w:rPr>
        <w:t> </w:t>
      </w:r>
    </w:p>
    <w:tbl>
      <w:tblPr>
        <w:tblW w:w="6373" w:type="dxa"/>
        <w:jc w:val="left"/>
        <w:tblInd w:w="0" w:type="dxa"/>
        <w:tblLayout w:type="fixed"/>
        <w:tblCellMar>
          <w:top w:w="28" w:type="dxa"/>
          <w:left w:w="28" w:type="dxa"/>
          <w:bottom w:w="28" w:type="dxa"/>
          <w:right w:w="28" w:type="dxa"/>
        </w:tblCellMar>
      </w:tblPr>
      <w:tblGrid>
        <w:gridCol w:w="272"/>
        <w:gridCol w:w="239"/>
        <w:gridCol w:w="240"/>
        <w:gridCol w:w="109"/>
        <w:gridCol w:w="109"/>
        <w:gridCol w:w="109"/>
        <w:gridCol w:w="1550"/>
        <w:gridCol w:w="1550"/>
        <w:gridCol w:w="2195"/>
      </w:tblGrid>
      <w:tr>
        <w:trPr/>
        <w:tc>
          <w:tcPr>
            <w:tcW w:w="272"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0" w:type="dxa"/>
            <w:tcBorders/>
            <w:vAlign w:val="center"/>
          </w:tcPr>
          <w:p>
            <w:pPr>
              <w:pStyle w:val="TableContents"/>
              <w:bidi w:val="0"/>
              <w:spacing w:before="0" w:after="283"/>
              <w:jc w:val="left"/>
              <w:rPr>
                <w:sz w:val="4"/>
                <w:szCs w:val="4"/>
              </w:rPr>
            </w:pPr>
            <w:r>
              <w:rPr>
                <w:sz w:val="4"/>
                <w:szCs w:val="4"/>
              </w:rPr>
            </w:r>
          </w:p>
        </w:tc>
        <w:tc>
          <w:tcPr>
            <w:tcW w:w="1550" w:type="dxa"/>
            <w:tcBorders/>
            <w:vAlign w:val="center"/>
          </w:tcPr>
          <w:p>
            <w:pPr>
              <w:pStyle w:val="TableContents"/>
              <w:bidi w:val="0"/>
              <w:spacing w:before="0" w:after="283"/>
              <w:jc w:val="left"/>
              <w:rPr>
                <w:sz w:val="4"/>
                <w:szCs w:val="4"/>
              </w:rPr>
            </w:pPr>
            <w:r>
              <w:rPr>
                <w:sz w:val="4"/>
                <w:szCs w:val="4"/>
              </w:rPr>
            </w:r>
          </w:p>
        </w:tc>
        <w:tc>
          <w:tcPr>
            <w:tcW w:w="2195" w:type="dxa"/>
            <w:tcBorders/>
            <w:vAlign w:val="center"/>
          </w:tcPr>
          <w:p>
            <w:pPr>
              <w:pStyle w:val="TableContents"/>
              <w:bidi w:val="0"/>
              <w:spacing w:before="0" w:after="283"/>
              <w:jc w:val="left"/>
              <w:rPr>
                <w:sz w:val="4"/>
                <w:szCs w:val="4"/>
              </w:rPr>
            </w:pPr>
            <w:r>
              <w:rPr>
                <w:sz w:val="4"/>
                <w:szCs w:val="4"/>
              </w:rPr>
            </w:r>
          </w:p>
        </w:tc>
      </w:tr>
      <w:tr>
        <w:trPr/>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Exhibit</w:t>
              <w:br/>
              <w:t>Number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29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Description of Exhibit</w:t>
            </w:r>
          </w:p>
        </w:tc>
      </w:tr>
      <w:tr>
        <w:trPr/>
        <w:tc>
          <w:tcPr>
            <w:tcW w:w="751" w:type="dxa"/>
            <w:gridSpan w:val="3"/>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saic8-k08272026xexhibit991.htm">
              <w:r>
                <w:rPr>
                  <w:rStyle w:val="InternetLink"/>
                  <w:rFonts w:ascii="Arial;sans-serif" w:hAnsi="Arial;sans-serif"/>
                  <w:b w:val="false"/>
                  <w:color w:val="2B4C9B"/>
                  <w:sz w:val="20"/>
                  <w:u w:val="single"/>
                </w:rPr>
                <w:t>99.1</w:t>
              </w:r>
            </w:hyperlink>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295"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Press Release dated August 28, 2026</w:t>
            </w:r>
          </w:p>
        </w:tc>
      </w:tr>
      <w:tr>
        <w:trPr/>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Cover Page Interactive Data File, formatted as Inline XBRL</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center"/>
        <w:rPr>
          <w:rFonts w:ascii="Arial;sans-serif" w:hAnsi="Arial;sans-serif"/>
          <w:b/>
          <w:color w:val="000000"/>
          <w:sz w:val="20"/>
        </w:rPr>
      </w:pPr>
      <w:r>
        <w:rPr>
          <w:rFonts w:ascii="Arial;sans-serif" w:hAnsi="Arial;sans-serif"/>
          <w:b/>
          <w:color w:val="000000"/>
          <w:sz w:val="20"/>
        </w:rPr>
        <w:t>SIGNATURES</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Pursuant to the requirements of the Securities Exchange Act of 1934, the registrant has duly caused this report to be signed on its behalf by the undersigned hereunto duly authorized.</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Date: August 28, 2026</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Science Applications International Corporation</w:t>
      </w:r>
    </w:p>
    <w:p>
      <w:pPr>
        <w:pStyle w:val="TextBody"/>
        <w:bidi w:val="0"/>
        <w:spacing w:lineRule="auto" w:line="288" w:before="0" w:after="0"/>
        <w:jc w:val="left"/>
        <w:rPr>
          <w:color w:val="000000"/>
        </w:rPr>
      </w:pPr>
      <w:r>
        <w:rPr>
          <w:color w:val="000000"/>
        </w:rPr>
        <w:t> </w:t>
      </w:r>
    </w:p>
    <w:tbl>
      <w:tblPr>
        <w:tblW w:w="6206" w:type="dxa"/>
        <w:jc w:val="left"/>
        <w:tblInd w:w="0" w:type="dxa"/>
        <w:tblLayout w:type="fixed"/>
        <w:tblCellMar>
          <w:top w:w="28" w:type="dxa"/>
          <w:left w:w="28" w:type="dxa"/>
          <w:bottom w:w="28" w:type="dxa"/>
          <w:right w:w="28" w:type="dxa"/>
        </w:tblCellMar>
      </w:tblPr>
      <w:tblGrid>
        <w:gridCol w:w="151"/>
        <w:gridCol w:w="134"/>
        <w:gridCol w:w="135"/>
        <w:gridCol w:w="109"/>
        <w:gridCol w:w="109"/>
        <w:gridCol w:w="109"/>
        <w:gridCol w:w="1593"/>
        <w:gridCol w:w="1593"/>
        <w:gridCol w:w="2273"/>
      </w:tblGrid>
      <w:tr>
        <w:trPr/>
        <w:tc>
          <w:tcPr>
            <w:tcW w:w="151"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3" w:type="dxa"/>
            <w:tcBorders/>
            <w:vAlign w:val="center"/>
          </w:tcPr>
          <w:p>
            <w:pPr>
              <w:pStyle w:val="TableContents"/>
              <w:bidi w:val="0"/>
              <w:spacing w:before="0" w:after="283"/>
              <w:jc w:val="left"/>
              <w:rPr>
                <w:sz w:val="4"/>
                <w:szCs w:val="4"/>
              </w:rPr>
            </w:pPr>
            <w:r>
              <w:rPr>
                <w:sz w:val="4"/>
                <w:szCs w:val="4"/>
              </w:rPr>
            </w:r>
          </w:p>
        </w:tc>
        <w:tc>
          <w:tcPr>
            <w:tcW w:w="1593" w:type="dxa"/>
            <w:tcBorders/>
            <w:vAlign w:val="center"/>
          </w:tcPr>
          <w:p>
            <w:pPr>
              <w:pStyle w:val="TableContents"/>
              <w:bidi w:val="0"/>
              <w:spacing w:before="0" w:after="283"/>
              <w:jc w:val="left"/>
              <w:rPr>
                <w:sz w:val="4"/>
                <w:szCs w:val="4"/>
              </w:rPr>
            </w:pPr>
            <w:r>
              <w:rPr>
                <w:sz w:val="4"/>
                <w:szCs w:val="4"/>
              </w:rPr>
            </w:r>
          </w:p>
        </w:tc>
        <w:tc>
          <w:tcPr>
            <w:tcW w:w="2273" w:type="dxa"/>
            <w:tcBorders/>
            <w:vAlign w:val="center"/>
          </w:tcPr>
          <w:p>
            <w:pPr>
              <w:pStyle w:val="TableContents"/>
              <w:bidi w:val="0"/>
              <w:spacing w:before="0" w:after="283"/>
              <w:jc w:val="left"/>
              <w:rPr>
                <w:sz w:val="4"/>
                <w:szCs w:val="4"/>
              </w:rPr>
            </w:pPr>
            <w:r>
              <w:rPr>
                <w:sz w:val="4"/>
                <w:szCs w:val="4"/>
              </w:rPr>
            </w:r>
          </w:p>
        </w:tc>
      </w:tr>
      <w:tr>
        <w:trPr/>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/s/ Hilary L. Hageman</w:t>
            </w:r>
          </w:p>
        </w:tc>
      </w:tr>
      <w:tr>
        <w:trPr/>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Hilary L. Hageman</w:t>
            </w:r>
          </w:p>
        </w:tc>
      </w:tr>
      <w:tr>
        <w:trPr/>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Executive Vice President, General Counsel and Corporate Secretary</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40" w:before="0" w:after="0"/>
        <w:jc w:val="left"/>
        <w:rPr>
          <w:rFonts w:ascii="Arial;sans-serif" w:hAnsi="Arial;sans-serif"/>
          <w:b/>
          <w:color w:val="000000"/>
          <w:sz w:val="20"/>
        </w:rPr>
      </w:pPr>
      <w:r>
        <w:rPr>
          <w:rFonts w:ascii="Arial;sans-serif" w:hAnsi="Arial;sans-serif"/>
          <w:b/>
          <w:color w:val="000000"/>
          <w:sz w:val="20"/>
        </w:rPr>
        <w:t>Exhibit 99.1</w:t>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drawing>
          <wp:inline distT="0" distB="0" distL="0" distR="0">
            <wp:extent cx="1304925" cy="609600"/>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1304925" cy="609600"/>
                    </a:xfrm>
                    <a:prstGeom prst="rect">
                      <a:avLst/>
                    </a:prstGeom>
                  </pic:spPr>
                </pic:pic>
              </a:graphicData>
            </a:graphic>
          </wp:inline>
        </w:drawing>
      </w:r>
    </w:p>
    <w:p>
      <w:pPr>
        <w:pStyle w:val="TextBody"/>
        <w:bidi w:val="0"/>
        <w:spacing w:lineRule="auto" w:line="288" w:before="200" w:after="200"/>
        <w:jc w:val="center"/>
        <w:rPr>
          <w:rFonts w:ascii="Arial;sans-serif" w:hAnsi="Arial;sans-serif"/>
          <w:b/>
          <w:color w:val="000000"/>
          <w:sz w:val="20"/>
        </w:rPr>
      </w:pPr>
      <w:r>
        <w:rPr>
          <w:rFonts w:ascii="Arial;sans-serif" w:hAnsi="Arial;sans-serif"/>
          <w:b/>
          <w:color w:val="000000"/>
          <w:sz w:val="20"/>
        </w:rPr>
        <w:t>SAIC Board of Directors Declares Cash Dividend</w:t>
      </w:r>
    </w:p>
    <w:p>
      <w:pPr>
        <w:pStyle w:val="TextBody"/>
        <w:bidi w:val="0"/>
        <w:spacing w:lineRule="auto" w:line="288" w:before="200" w:after="200"/>
        <w:jc w:val="left"/>
        <w:rPr/>
      </w:pPr>
      <w:r>
        <w:rPr>
          <w:rFonts w:ascii="Arial;sans-serif" w:hAnsi="Arial;sans-serif"/>
          <w:b w:val="false"/>
          <w:color w:val="000000"/>
          <w:sz w:val="20"/>
        </w:rPr>
        <w:t xml:space="preserve">RESTON, Va., August 28, 2026 – Science Applications International Corp. (NASDAQ: </w:t>
      </w:r>
      <w:r>
        <w:rPr>
          <w:rFonts w:ascii="Arial;sans-serif" w:hAnsi="Arial;sans-serif"/>
          <w:b w:val="false"/>
          <w:color w:val="000000"/>
          <w:sz w:val="20"/>
          <w:u w:val="single"/>
        </w:rPr>
        <w:t>SAIC</w:t>
      </w:r>
      <w:r>
        <w:rPr>
          <w:rFonts w:ascii="Arial;sans-serif" w:hAnsi="Arial;sans-serif"/>
          <w:b w:val="false"/>
          <w:color w:val="000000"/>
          <w:sz w:val="20"/>
        </w:rPr>
        <w:t xml:space="preserve">) announced today that the company’s board of directors declared a cash dividend of $0.37 per share of the company’s common stock payable on October 23, 2026 to stockholders of record on October 9, 2026. </w:t>
      </w:r>
    </w:p>
    <w:p>
      <w:pPr>
        <w:pStyle w:val="TextBody"/>
        <w:bidi w:val="0"/>
        <w:spacing w:lineRule="auto" w:line="288" w:before="200" w:after="200"/>
        <w:jc w:val="left"/>
        <w:rPr>
          <w:rFonts w:ascii="Arial;sans-serif" w:hAnsi="Arial;sans-serif"/>
          <w:b w:val="false"/>
          <w:color w:val="000000"/>
          <w:sz w:val="20"/>
        </w:rPr>
      </w:pPr>
      <w:r>
        <w:rPr>
          <w:rFonts w:ascii="Arial;sans-serif" w:hAnsi="Arial;sans-serif"/>
          <w:b w:val="false"/>
          <w:color w:val="000000"/>
          <w:sz w:val="20"/>
        </w:rPr>
        <w:t>SAIC intends to continue paying dividends on a quarterly basis, although the declaration of any future dividends will be determined by the board of directors each quarter and will depend on earnings, financial condition, capital requirements and other factors.</w:t>
      </w:r>
    </w:p>
    <w:p>
      <w:pPr>
        <w:pStyle w:val="TextBody"/>
        <w:bidi w:val="0"/>
        <w:spacing w:lineRule="auto" w:line="288" w:before="200" w:after="283"/>
        <w:jc w:val="left"/>
        <w:rPr>
          <w:rFonts w:ascii="Arial;sans-serif" w:hAnsi="Arial;sans-serif"/>
          <w:b/>
          <w:color w:val="000000"/>
          <w:sz w:val="20"/>
        </w:rPr>
      </w:pPr>
      <w:r>
        <w:rPr>
          <w:rFonts w:ascii="Arial;sans-serif" w:hAnsi="Arial;sans-serif"/>
          <w:b/>
          <w:color w:val="000000"/>
          <w:sz w:val="20"/>
        </w:rPr>
        <w:t>About SAIC</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SAIC® is a premier mission integrator focused on advancing the power of technology and innovation to serve and protect our world. Our robust portfolio of offerings across the defense, space, intelligence, and civilian markets includes secure high-end solutions in mission IT, enterprise IT, engineering services, and professional services. We integrate emerging technology, rapidly and securely, into mission critical operations that modernize and enable critical national imperatives.</w:t>
      </w:r>
    </w:p>
    <w:p>
      <w:pPr>
        <w:pStyle w:val="TextBody"/>
        <w:bidi w:val="0"/>
        <w:spacing w:lineRule="auto" w:line="288" w:before="200" w:after="200"/>
        <w:jc w:val="left"/>
        <w:rPr>
          <w:rFonts w:ascii="Arial;sans-serif" w:hAnsi="Arial;sans-serif"/>
          <w:b w:val="false"/>
          <w:color w:val="000000"/>
          <w:sz w:val="20"/>
        </w:rPr>
      </w:pPr>
      <w:r>
        <w:rPr>
          <w:rFonts w:ascii="Arial;sans-serif" w:hAnsi="Arial;sans-serif"/>
          <w:b w:val="false"/>
          <w:color w:val="000000"/>
          <w:sz w:val="20"/>
        </w:rPr>
        <w:t>We are approximately 23,000 strong; driven by mission, united by purpose, and inspired by opportunities. Headquartered in Reston, Virginia, SAIC has annual revenues of approximately $7.3 billion. For more information, visit saic.com. For ongoing news, please visit our newsroom.</w:t>
      </w:r>
    </w:p>
    <w:p>
      <w:pPr>
        <w:pStyle w:val="TextBody"/>
        <w:bidi w:val="0"/>
        <w:spacing w:lineRule="auto" w:line="288" w:before="200" w:after="283"/>
        <w:jc w:val="left"/>
        <w:rPr>
          <w:rFonts w:ascii="Arial;sans-serif" w:hAnsi="Arial;sans-serif"/>
          <w:b/>
          <w:color w:val="000000"/>
          <w:sz w:val="20"/>
        </w:rPr>
      </w:pPr>
      <w:r>
        <w:rPr>
          <w:rFonts w:ascii="Arial;sans-serif" w:hAnsi="Arial;sans-serif"/>
          <w:b/>
          <w:color w:val="000000"/>
          <w:sz w:val="20"/>
        </w:rPr>
        <w:t>Forward-Looking Statements</w:t>
      </w:r>
    </w:p>
    <w:p>
      <w:pPr>
        <w:pStyle w:val="TextBody"/>
        <w:bidi w:val="0"/>
        <w:spacing w:lineRule="auto" w:line="288" w:before="0" w:after="200"/>
        <w:jc w:val="left"/>
        <w:rPr/>
      </w:pPr>
      <w:r>
        <w:rPr>
          <w:rFonts w:ascii="Arial;sans-serif" w:hAnsi="Arial;sans-serif"/>
          <w:b w:val="false"/>
          <w:color w:val="000000"/>
          <w:sz w:val="20"/>
        </w:rPr>
        <w:t>Certain statements in this release contain or are based on “forward-looking” information within the meaning of the Private Securities Litigation Reform Act of 1995. In some cases, you can identify forward-looking statements by words such as “expects,” “intends,” “plans,” “anticipates,” “believes,” “estimates,” “guidance,” and similar words or phrases. Forward-looking statements in this release may include, among others, estimates of future revenues, operating income, earnings, earnings per share, charges, total contract value, backlog, outstanding shares and cash flows, as well as statements about future dividends, share repurchases and other capital deployment plans. Such statements are not guarantees of future performance and involve risk, uncertainties and assumptions, and actual results may differ materially from the guidance and other forward-looking statements made in this release as a result of various factors. Risks, uncertainties and assumptions that could cause or contribute to these material differences include those discussed in the “Risk Factors,” “Management’s Discussion and Analysis of Financial Condition and Results of Operations” and “Legal Proceedings” sections of our Annual Report on Form 10-K, as updated in any subsequent Quarterly Reports on Form 10-Q and other filings with the SEC, which may be viewed or obtained through the Investor Relations section of our website at </w:t>
      </w:r>
      <w:r>
        <w:rPr>
          <w:rFonts w:ascii="Arial;sans-serif" w:hAnsi="Arial;sans-serif"/>
          <w:b w:val="false"/>
          <w:color w:val="000000"/>
          <w:sz w:val="20"/>
          <w:u w:val="single"/>
        </w:rPr>
        <w:t>www.saic.com</w:t>
      </w:r>
      <w:r>
        <w:rPr>
          <w:color w:val="000000"/>
        </w:rPr>
        <w:t xml:space="preserve"> </w:t>
      </w:r>
      <w:r>
        <w:rPr>
          <w:rFonts w:ascii="Arial;sans-serif" w:hAnsi="Arial;sans-serif"/>
          <w:b w:val="false"/>
          <w:color w:val="000000"/>
          <w:sz w:val="20"/>
        </w:rPr>
        <w:t>or on the SEC’s website at </w:t>
      </w:r>
      <w:r>
        <w:rPr>
          <w:rFonts w:ascii="Arial;sans-serif" w:hAnsi="Arial;sans-serif"/>
          <w:b w:val="false"/>
          <w:color w:val="000000"/>
          <w:sz w:val="20"/>
          <w:u w:val="single"/>
        </w:rPr>
        <w:t>www.sec.gov</w:t>
      </w:r>
      <w:r>
        <w:rPr>
          <w:rFonts w:ascii="Arial;sans-serif" w:hAnsi="Arial;sans-serif"/>
          <w:b w:val="false"/>
          <w:color w:val="000000"/>
          <w:sz w:val="20"/>
        </w:rPr>
        <w:t>. Due to such risks, uncertainties and assumptions you are cautioned not to place undue reliance on such forward-looking statements, which speak only as of the date hereof. SAIC expressly disclaims any duty to update any forward-looking statement provided in this release to reflect subsequent events, actual results or changes in SAIC’s expectations. SAIC also disclaims any duty to comment upon or correct information that may be contained in reports published by investment analysts or others.</w:t>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Media Contact:</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Darryn James</w:t>
      </w:r>
    </w:p>
    <w:p>
      <w:pPr>
        <w:pStyle w:val="TextBody"/>
        <w:bidi w:val="0"/>
        <w:spacing w:lineRule="auto" w:line="288" w:before="0" w:after="200"/>
        <w:jc w:val="both"/>
        <w:rPr>
          <w:rFonts w:ascii="Arial;sans-serif" w:hAnsi="Arial;sans-serif"/>
          <w:b w:val="false"/>
          <w:color w:val="000000"/>
          <w:sz w:val="20"/>
        </w:rPr>
      </w:pPr>
      <w:r>
        <w:rPr>
          <w:rFonts w:ascii="Arial;sans-serif" w:hAnsi="Arial;sans-serif"/>
          <w:b w:val="false"/>
          <w:color w:val="000000"/>
          <w:sz w:val="20"/>
        </w:rPr>
        <w:t>publicrelations@saic.com</w:t>
      </w: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Investor Relations Contact:</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Jon Raviv</w:t>
      </w:r>
    </w:p>
    <w:p>
      <w:pPr>
        <w:pStyle w:val="TextBody"/>
        <w:bidi w:val="0"/>
        <w:spacing w:lineRule="auto" w:line="288" w:before="0" w:after="200"/>
        <w:jc w:val="both"/>
        <w:rPr>
          <w:rFonts w:ascii="Arial;sans-serif" w:hAnsi="Arial;sans-serif"/>
          <w:b w:val="false"/>
          <w:color w:val="000000"/>
          <w:sz w:val="20"/>
        </w:rPr>
      </w:pPr>
      <w:r>
        <w:rPr>
          <w:rFonts w:ascii="Arial;sans-serif" w:hAnsi="Arial;sans-serif"/>
          <w:b w:val="false"/>
          <w:color w:val="000000"/>
          <w:sz w:val="20"/>
        </w:rPr>
        <w:t xml:space="preserve">investorrelations@saic.com </w:t>
      </w:r>
    </w:p>
    <w:p>
      <w:pPr>
        <w:pStyle w:val="TextBody"/>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549275"/>
                <wp:effectExtent l="0" t="0" r="0" b="0"/>
                <wp:wrapNone/>
                <wp:docPr id="5" name="Frame4"/>
                <a:graphic xmlns:a="http://schemas.openxmlformats.org/drawingml/2006/main">
                  <a:graphicData uri="http://schemas.microsoft.com/office/word/2010/wordprocessingShape">
                    <wps:wsp>
                      <wps:cNvSpPr txBox="1"/>
                      <wps:spPr>
                        <a:xfrm>
                          <a:off x="0" y="0"/>
                          <a:ext cx="6480175" cy="549275"/>
                        </a:xfrm>
                        <a:prstGeom prst="rect"/>
                        <a:solidFill>
                          <a:srgbClr val="FFFFFF"/>
                        </a:solidFill>
                      </wps:spPr>
                      <wps:txbx>
                        <w:txbxContent>
                          <w:p>
                            <w:pPr>
                              <w:pStyle w:val="TextBody"/>
                              <w:bidi w:val="0"/>
                              <w:spacing w:before="0" w:after="0"/>
                              <w:jc w:val="left"/>
                              <w:rPr/>
                            </w:pPr>
                            <w:r>
                              <w:rPr/>
                              <w:drawing>
                                <wp:inline distT="0" distB="0" distL="0" distR="0">
                                  <wp:extent cx="1047750" cy="485775"/>
                                  <wp:effectExtent l="0" t="0" r="0" b="0"/>
                                  <wp:docPr id="6"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2" descr=""/>
                                          <pic:cNvPicPr>
                                            <a:picLocks noChangeAspect="1" noChangeArrowheads="1"/>
                                          </pic:cNvPicPr>
                                        </pic:nvPicPr>
                                        <pic:blipFill>
                                          <a:blip r:embed="rId3"/>
                                          <a:stretch>
                                            <a:fillRect/>
                                          </a:stretch>
                                        </pic:blipFill>
                                        <pic:spPr bwMode="auto">
                                          <a:xfrm>
                                            <a:off x="0" y="0"/>
                                            <a:ext cx="1047750" cy="485775"/>
                                          </a:xfrm>
                                          <a:prstGeom prst="rect">
                                            <a:avLst/>
                                          </a:prstGeom>
                                        </pic:spPr>
                                      </pic:pic>
                                    </a:graphicData>
                                  </a:graphic>
                                </wp:inline>
                              </w:drawing>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3.2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drawing>
                          <wp:inline distT="0" distB="0" distL="0" distR="0">
                            <wp:extent cx="1047750" cy="485775"/>
                            <wp:effectExtent l="0" t="0" r="0" b="0"/>
                            <wp:docPr id="7"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2" descr=""/>
                                    <pic:cNvPicPr>
                                      <a:picLocks noChangeAspect="1" noChangeArrowheads="1"/>
                                    </pic:cNvPicPr>
                                  </pic:nvPicPr>
                                  <pic:blipFill>
                                    <a:blip r:embed="rId4"/>
                                    <a:stretch>
                                      <a:fillRect/>
                                    </a:stretch>
                                  </pic:blipFill>
                                  <pic:spPr bwMode="auto">
                                    <a:xfrm>
                                      <a:off x="0" y="0"/>
                                      <a:ext cx="1047750" cy="485775"/>
                                    </a:xfrm>
                                    <a:prstGeom prst="rect">
                                      <a:avLst/>
                                    </a:prstGeom>
                                  </pic:spPr>
                                </pic:pic>
                              </a:graphicData>
                            </a:graphic>
                          </wp:inline>
                        </w:drawing>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sans-serif"/>
    <w:charset w:val="01"/>
    <w:family w:val="auto"/>
    <w:pitch w:val="default"/>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1.jpeg"/><Relationship Id="rId4" Type="http://schemas.openxmlformats.org/officeDocument/2006/relationships/image" Target="media/image1.jpeg"/><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954</Words>
  <Characters>5712</Characters>
  <CharactersWithSpaces>6603</CharactersWithSpaces>
  <Paragraphs>84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