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542290</wp:posOffset>
            </wp:positionH>
            <wp:positionV relativeFrom="page">
              <wp:posOffset>457835</wp:posOffset>
            </wp:positionV>
            <wp:extent cx="64719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page">
              <wp:posOffset>542290</wp:posOffset>
            </wp:positionH>
            <wp:positionV relativeFrom="page">
              <wp:posOffset>423545</wp:posOffset>
            </wp:positionV>
            <wp:extent cx="6471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71920" cy="8255"/>
                    </a:xfrm>
                    <a:prstGeom prst="rect">
                      <a:avLst/>
                    </a:prstGeom>
                    <a:noFill/>
                  </pic:spPr>
                </pic:pic>
              </a:graphicData>
            </a:graphic>
          </wp:anchor>
        </w:drawing>
        <w:t>UNITED STATES</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9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Form 8-K</w:t>
      </w:r>
    </w:p>
    <w:p>
      <w:pPr>
        <w:spacing w:after="0" w:line="11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3, 2024</w:t>
      </w:r>
    </w:p>
    <w:p>
      <w:pPr>
        <w:spacing w:after="0" w:line="26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Science Applications International Corporation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ectPr>
          <w:pgSz w:w="11900" w:h="16838" w:orient="portrait"/>
          <w:cols w:equalWidth="0" w:num="1">
            <w:col w:w="11240"/>
          </w:cols>
          <w:pgMar w:left="320" w:top="800" w:right="339" w:bottom="1440" w:gutter="0" w:footer="0" w:header="0"/>
        </w:sectPr>
      </w:pPr>
    </w:p>
    <w:p>
      <w:pPr>
        <w:spacing w:after="0" w:line="152" w:lineRule="exact"/>
        <w:rPr>
          <w:sz w:val="24"/>
          <w:szCs w:val="24"/>
          <w:color w:val="auto"/>
        </w:rPr>
      </w:pPr>
    </w:p>
    <w:p>
      <w:pPr>
        <w:ind w:left="1720"/>
        <w:spacing w:after="0"/>
        <w:rPr>
          <w:sz w:val="20"/>
          <w:szCs w:val="20"/>
          <w:color w:val="auto"/>
        </w:rPr>
      </w:pPr>
      <w:r>
        <w:rPr>
          <w:rFonts w:ascii="Arial" w:cs="Arial" w:eastAsia="Arial" w:hAnsi="Arial"/>
          <w:sz w:val="17"/>
          <w:szCs w:val="17"/>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1900"/>
        <w:spacing w:after="0"/>
        <w:rPr>
          <w:sz w:val="20"/>
          <w:szCs w:val="20"/>
          <w:color w:val="auto"/>
        </w:rPr>
      </w:pPr>
      <w:r>
        <w:rPr>
          <w:rFonts w:ascii="Arial" w:cs="Arial" w:eastAsia="Arial" w:hAnsi="Arial"/>
          <w:sz w:val="17"/>
          <w:szCs w:val="17"/>
          <w:color w:val="auto"/>
        </w:rPr>
        <w:t>001-35832</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7"/>
          <w:szCs w:val="17"/>
          <w:color w:val="auto"/>
        </w:rPr>
        <w:t>46-1932921</w:t>
      </w:r>
    </w:p>
    <w:p>
      <w:pPr>
        <w:spacing w:after="0" w:line="59" w:lineRule="exact"/>
        <w:rPr>
          <w:sz w:val="24"/>
          <w:szCs w:val="24"/>
          <w:color w:val="auto"/>
        </w:rPr>
      </w:pPr>
    </w:p>
    <w:p>
      <w:pPr>
        <w:sectPr>
          <w:pgSz w:w="11900" w:h="16838" w:orient="portrait"/>
          <w:cols w:equalWidth="0" w:num="3">
            <w:col w:w="4560" w:space="720"/>
            <w:col w:w="2760" w:space="720"/>
            <w:col w:w="2480"/>
          </w:cols>
          <w:pgMar w:left="320" w:top="800" w:right="339" w:bottom="1440" w:gutter="0" w:footer="0" w:header="0"/>
          <w:type w:val="continuous"/>
        </w:sectPr>
      </w:pPr>
    </w:p>
    <w:p>
      <w:pPr>
        <w:jc w:val="center"/>
        <w:ind w:right="340"/>
        <w:spacing w:after="0"/>
        <w:rPr>
          <w:sz w:val="20"/>
          <w:szCs w:val="20"/>
          <w:color w:val="auto"/>
        </w:rPr>
      </w:pPr>
      <w:r>
        <w:rPr>
          <w:rFonts w:ascii="Arial" w:cs="Arial" w:eastAsia="Arial" w:hAnsi="Arial"/>
          <w:sz w:val="14"/>
          <w:szCs w:val="14"/>
          <w:b w:val="1"/>
          <w:bCs w:val="1"/>
          <w:color w:val="auto"/>
        </w:rPr>
        <w:t>(State or other Jurisdiction</w:t>
      </w:r>
    </w:p>
    <w:p>
      <w:pPr>
        <w:jc w:val="center"/>
        <w:ind w:right="3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4"/>
          <w:szCs w:val="14"/>
          <w:b w:val="1"/>
          <w:bCs w:val="1"/>
          <w:color w:val="auto"/>
        </w:rPr>
        <w:t>(IRS Employer</w:t>
      </w:r>
    </w:p>
    <w:p>
      <w:pPr>
        <w:jc w:val="center"/>
        <w:ind w:right="1400"/>
        <w:spacing w:after="0"/>
        <w:rPr>
          <w:sz w:val="20"/>
          <w:szCs w:val="20"/>
          <w:color w:val="auto"/>
        </w:rPr>
      </w:pPr>
      <w:r>
        <w:rPr>
          <w:rFonts w:ascii="Arial" w:cs="Arial" w:eastAsia="Arial" w:hAnsi="Arial"/>
          <w:sz w:val="14"/>
          <w:szCs w:val="14"/>
          <w:b w:val="1"/>
          <w:bCs w:val="1"/>
          <w:color w:val="auto"/>
        </w:rPr>
        <w:t>Identification No.)</w:t>
      </w:r>
    </w:p>
    <w:p>
      <w:pPr>
        <w:spacing w:after="0" w:line="85" w:lineRule="exact"/>
        <w:rPr>
          <w:sz w:val="24"/>
          <w:szCs w:val="24"/>
          <w:color w:val="auto"/>
        </w:rPr>
      </w:pPr>
    </w:p>
    <w:p>
      <w:pPr>
        <w:sectPr>
          <w:pgSz w:w="11900" w:h="16838" w:orient="portrait"/>
          <w:cols w:equalWidth="0" w:num="3">
            <w:col w:w="4540" w:space="720"/>
            <w:col w:w="2640" w:space="720"/>
            <w:col w:w="2620"/>
          </w:cols>
          <w:pgMar w:left="320" w:top="800"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12010 Sunset Hills Road, Reston, VA 20190</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(703) 676-4300</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100"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240"/>
          </w:cols>
          <w:pgMar w:left="320" w:top="800" w:right="339" w:bottom="1440" w:gutter="0" w:footer="0" w:header="0"/>
          <w:type w:val="continuous"/>
        </w:sectPr>
      </w:pPr>
    </w:p>
    <w:p>
      <w:pPr>
        <w:spacing w:after="0" w:line="194"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3340" w:right="1760" w:hanging="3314"/>
        <w:spacing w:after="0" w:line="396" w:lineRule="auto"/>
        <w:tabs>
          <w:tab w:leader="none" w:pos="59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5"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4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rPr>
              <w:t>Title of each class</w:t>
            </w:r>
          </w:p>
        </w:tc>
        <w:tc>
          <w:tcPr>
            <w:tcW w:w="2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Trading Symbol(s)</w:t>
            </w:r>
          </w:p>
        </w:tc>
        <w:tc>
          <w:tcPr>
            <w:tcW w:w="372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3"/>
        </w:trPr>
        <w:tc>
          <w:tcPr>
            <w:tcW w:w="34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Common Stock, par value $.0001 per share</w:t>
            </w:r>
          </w:p>
        </w:tc>
        <w:tc>
          <w:tcPr>
            <w:tcW w:w="180" w:type="dxa"/>
            <w:vAlign w:val="bottom"/>
          </w:tcPr>
          <w:p>
            <w:pPr>
              <w:spacing w:after="0"/>
              <w:rPr>
                <w:sz w:val="21"/>
                <w:szCs w:val="21"/>
                <w:color w:val="auto"/>
              </w:rPr>
            </w:pPr>
          </w:p>
        </w:tc>
        <w:tc>
          <w:tcPr>
            <w:tcW w:w="192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9"/>
              </w:rPr>
              <w:t>SAIC</w:t>
            </w:r>
          </w:p>
        </w:tc>
        <w:tc>
          <w:tcPr>
            <w:tcW w:w="6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4"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94615</wp:posOffset>
            </wp:positionV>
            <wp:extent cx="6471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60325</wp:posOffset>
            </wp:positionV>
            <wp:extent cx="6471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19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i w:val="1"/>
          <w:iCs w:val="1"/>
          <w:color w:val="auto"/>
        </w:rPr>
        <w:t>Results of Operations and Financial Condition</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On June 3, 2024, Science Applications International Corporation issued a press release announcing its financial results for the first fiscal quarter ended May 3, 2024. A copy of the press release is furnished as Exhibit 99.1 to this report.</w:t>
      </w:r>
    </w:p>
    <w:p>
      <w:pPr>
        <w:spacing w:after="0" w:line="153"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Company’s management will discuss operations and financial results in an earnings conference call beginning at 10:00 a.m. Eastern time on June 3, 2024. A live audio broadcast of the conference call along with a supplemental presentation will be available to the public through links on the Investor Relations section of the Company’s website (http://investors.saic.com).</w:t>
      </w:r>
    </w:p>
    <w:p>
      <w:pPr>
        <w:spacing w:after="0" w:line="13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information contained in this report, including Exhibit 99.1, shall not be deemed to be “filed” for purposes of Section 18 of the Securities Exchange Act of 1934, as amended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7.01. </w:t>
      </w:r>
      <w:r>
        <w:rPr>
          <w:rFonts w:ascii="Arial" w:cs="Arial" w:eastAsia="Arial" w:hAnsi="Arial"/>
          <w:sz w:val="18"/>
          <w:szCs w:val="18"/>
          <w:b w:val="1"/>
          <w:bCs w:val="1"/>
          <w:i w:val="1"/>
          <w:iCs w:val="1"/>
          <w:color w:val="auto"/>
        </w:rPr>
        <w:t>Regulation FD Disclosure</w:t>
      </w:r>
    </w:p>
    <w:p>
      <w:pPr>
        <w:spacing w:after="0" w:line="19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Effective February 3, 2024, SAIC completed a business reorganization which replaced its previous two operating sectors with five customer facing business groups. The five business groups represent SAIC's operating segments and have been aggregated into two reportable segments. Exhibit 99.2 to this report includes selected recast unaudited financial information reflecting the Company’s new reportable segments for the fiscal years ended February 2, 2024 and February 3, 2023, and the four quarters of the year ended February 2, 2024.</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contained in this Item 7.01 and Exhibit 99.2 is being furnished, and shall not be deemed “filed” for purposes of Section 18 of the Securities Exchange Act of 1934, as amended (the “Exchange Act”), or otherwise subject to the liabilities under Section 18. Furthermore, the information contained in this Item 7.01 and Exhibit 99.2 shall not be deemed to be incorporated by reference into SAIC’s filings under the Securities Act of 1933, as amended, or the Exchange Act.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i w:val="1"/>
          <w:iCs w:val="1"/>
          <w:color w:val="auto"/>
        </w:rPr>
        <w:t>Financial Statements and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rPr>
              <w:t>Exhibit</w:t>
            </w:r>
          </w:p>
        </w:tc>
        <w:tc>
          <w:tcPr>
            <w:tcW w:w="17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Arial" w:cs="Arial" w:eastAsia="Arial" w:hAnsi="Arial"/>
                <w:sz w:val="14"/>
                <w:szCs w:val="14"/>
                <w:b w:val="1"/>
                <w:bCs w:val="1"/>
                <w:color w:val="auto"/>
              </w:rPr>
              <w:t>Number</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275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47" w:lineRule="exact"/>
        <w:rPr>
          <w:sz w:val="20"/>
          <w:szCs w:val="20"/>
          <w:color w:val="auto"/>
        </w:rPr>
      </w:pPr>
    </w:p>
    <w:p>
      <w:pPr>
        <w:ind w:left="200"/>
        <w:spacing w:after="0"/>
        <w:tabs>
          <w:tab w:leader="none" w:pos="1400" w:val="left"/>
        </w:tabs>
        <w:rPr>
          <w:sz w:val="20"/>
          <w:szCs w:val="20"/>
          <w:color w:val="auto"/>
        </w:rPr>
      </w:pPr>
      <w:r>
        <w:rPr>
          <w:rFonts w:ascii="Arial" w:cs="Arial" w:eastAsia="Arial" w:hAnsi="Arial"/>
          <w:sz w:val="18"/>
          <w:szCs w:val="18"/>
          <w:u w:val="single" w:color="auto"/>
          <w:color w:val="2B4C9B"/>
        </w:rPr>
        <w:t>99.1, 99.2</w:t>
      </w:r>
      <w:r>
        <w:rPr>
          <w:sz w:val="20"/>
          <w:szCs w:val="20"/>
          <w:color w:val="auto"/>
        </w:rPr>
        <w:tab/>
      </w:r>
      <w:r>
        <w:rPr>
          <w:rFonts w:ascii="Arial" w:cs="Arial" w:eastAsia="Arial" w:hAnsi="Arial"/>
          <w:sz w:val="17"/>
          <w:szCs w:val="17"/>
          <w:color w:val="auto"/>
        </w:rPr>
        <w:t>Press Release dated June 3, 2024 including Supplemental materials - Historical Segment Results</w:t>
      </w:r>
    </w:p>
    <w:p>
      <w:pPr>
        <w:spacing w:after="0" w:line="104"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June 3,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2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Hilary L. Hageman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34925</wp:posOffset>
            </wp:positionV>
            <wp:extent cx="2511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07"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Hilary L. Hageman</w:t>
      </w:r>
    </w:p>
    <w:p>
      <w:pPr>
        <w:spacing w:after="0" w:line="6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Executive Vice President, General Counsel and</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Corporate Secretary</w:t>
      </w:r>
    </w:p>
    <w:p>
      <w:pPr>
        <w:sectPr>
          <w:pgSz w:w="11900" w:h="16838" w:orient="portrait"/>
          <w:cols w:equalWidth="0" w:num="1">
            <w:col w:w="11120"/>
          </w:cols>
          <w:pgMar w:left="320" w:top="553" w:right="459" w:bottom="1440" w:gutter="0" w:footer="0" w:header="0"/>
        </w:sectPr>
      </w:pPr>
    </w:p>
    <w:bookmarkStart w:id="3" w:name="page4"/>
    <w:bookmarkEnd w:id="3"/>
    <w:p>
      <w:pPr>
        <w:ind w:left="10240"/>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SAIC Announces First Quarter of Fiscal Year 2025 Results</w:t>
      </w:r>
    </w:p>
    <w:p>
      <w:pPr>
        <w:spacing w:after="0" w:line="191"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Revenues of $1.85 billion; 0.4% organic growth; organic growth reflects impacts of divestitures</w:t>
      </w:r>
    </w:p>
    <w:p>
      <w:pPr>
        <w:spacing w:after="0" w:line="166" w:lineRule="exact"/>
        <w:rPr>
          <w:rFonts w:ascii="Arial" w:cs="Arial" w:eastAsia="Arial" w:hAnsi="Arial"/>
          <w:sz w:val="18"/>
          <w:szCs w:val="18"/>
          <w:b w:val="1"/>
          <w:bCs w:val="1"/>
          <w:i w:val="1"/>
          <w:iCs w:val="1"/>
          <w:color w:val="auto"/>
        </w:rPr>
      </w:pPr>
    </w:p>
    <w:p>
      <w:pPr>
        <w:ind w:left="160" w:hanging="152"/>
        <w:spacing w:after="0"/>
        <w:tabs>
          <w:tab w:leader="none" w:pos="1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of $77 million; Adjusted EBITDA</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of $166 million or 9.0% of revenues</w:t>
      </w:r>
    </w:p>
    <w:p>
      <w:pPr>
        <w:spacing w:after="0" w:line="113" w:lineRule="exact"/>
        <w:rPr>
          <w:rFonts w:ascii="Arial" w:cs="Arial" w:eastAsia="Arial" w:hAnsi="Arial"/>
          <w:sz w:val="18"/>
          <w:szCs w:val="18"/>
          <w:b w:val="1"/>
          <w:bCs w:val="1"/>
          <w:i w:val="1"/>
          <w:iCs w:val="1"/>
          <w:color w:val="auto"/>
        </w:rPr>
      </w:pPr>
    </w:p>
    <w:p>
      <w:pPr>
        <w:ind w:left="160" w:hanging="152"/>
        <w:spacing w:after="0"/>
        <w:tabs>
          <w:tab w:leader="none" w:pos="1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Diluted earnings per share of $1.48; Adjusted diluted earnings per share</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of $1.92</w:t>
      </w:r>
    </w:p>
    <w:p>
      <w:pPr>
        <w:spacing w:after="0" w:line="113" w:lineRule="exact"/>
        <w:rPr>
          <w:rFonts w:ascii="Arial" w:cs="Arial" w:eastAsia="Arial" w:hAnsi="Arial"/>
          <w:sz w:val="18"/>
          <w:szCs w:val="18"/>
          <w:b w:val="1"/>
          <w:bCs w:val="1"/>
          <w:i w:val="1"/>
          <w:iCs w:val="1"/>
          <w:color w:val="auto"/>
        </w:rPr>
      </w:pPr>
    </w:p>
    <w:p>
      <w:pPr>
        <w:ind w:left="160" w:hanging="152"/>
        <w:spacing w:after="0"/>
        <w:tabs>
          <w:tab w:leader="none" w:pos="1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flows provided by operating activities of $98 million; Transaction-adjusted free cash flow</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of $21 million</w:t>
      </w:r>
    </w:p>
    <w:p>
      <w:pPr>
        <w:spacing w:after="0" w:line="117" w:lineRule="exact"/>
        <w:rPr>
          <w:rFonts w:ascii="Arial" w:cs="Arial" w:eastAsia="Arial" w:hAnsi="Arial"/>
          <w:sz w:val="18"/>
          <w:szCs w:val="18"/>
          <w:b w:val="1"/>
          <w:bCs w:val="1"/>
          <w:i w:val="1"/>
          <w:iCs w:val="1"/>
          <w:color w:val="auto"/>
        </w:rPr>
      </w:pPr>
    </w:p>
    <w:p>
      <w:pPr>
        <w:ind w:left="160" w:hanging="152"/>
        <w:spacing w:after="0"/>
        <w:tabs>
          <w:tab w:leader="none" w:pos="1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bookings of $2.6 billion; book-to-bill ratio of 1.4</w:t>
      </w:r>
    </w:p>
    <w:p>
      <w:pPr>
        <w:spacing w:after="0" w:line="171" w:lineRule="exact"/>
        <w:rPr>
          <w:rFonts w:ascii="Arial" w:cs="Arial" w:eastAsia="Arial" w:hAnsi="Arial"/>
          <w:sz w:val="18"/>
          <w:szCs w:val="18"/>
          <w:b w:val="1"/>
          <w:bCs w:val="1"/>
          <w:i w:val="1"/>
          <w:iCs w:val="1"/>
          <w:color w:val="auto"/>
        </w:rPr>
      </w:pPr>
    </w:p>
    <w:p>
      <w:pPr>
        <w:ind w:left="160" w:hanging="152"/>
        <w:spacing w:after="0"/>
        <w:tabs>
          <w:tab w:leader="none" w:pos="1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Company reaffirms Fiscal Year 2025 financial guidance</w:t>
      </w:r>
    </w:p>
    <w:p>
      <w:pPr>
        <w:spacing w:after="0" w:line="200" w:lineRule="exact"/>
        <w:rPr>
          <w:sz w:val="20"/>
          <w:szCs w:val="20"/>
          <w:color w:val="auto"/>
        </w:rPr>
      </w:pPr>
    </w:p>
    <w:p>
      <w:pPr>
        <w:spacing w:after="0" w:line="3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RESTON, VA, June 3, 2024—Science Applications International Corporation (Nasdaq: SAIC), a premier Fortune 500® technology integrator driving our nation's digital transformation across the defense, space, civilian, and intelligence markets, today announced results for the first quarter ended May 3, 2024.</w:t>
      </w:r>
    </w:p>
    <w:p>
      <w:pPr>
        <w:spacing w:after="0" w:line="6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reported solid financial results in the quarter as we began executing against our enterprise growth strategy introduced at SAIC's 2024 Investor Day,” said SAIC CEO Toni Townes-Whitley. "We are confident that the strategy and investments we are making best position the company to maximize long-term shareholder value. While we are seeing early indications of progress, we expect returns from our investments to further accelerate in FY26 and FY27."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of Fiscal Year 2025: Summary Operating Results</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7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47"/>
        </w:trPr>
        <w:tc>
          <w:tcPr>
            <w:tcW w:w="7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158"/>
              <w:spacing w:after="0" w:line="147" w:lineRule="exact"/>
              <w:rPr>
                <w:sz w:val="20"/>
                <w:szCs w:val="20"/>
                <w:color w:val="auto"/>
              </w:rPr>
            </w:pPr>
            <w:r>
              <w:rPr>
                <w:rFonts w:ascii="Arial" w:cs="Arial" w:eastAsia="Arial" w:hAnsi="Arial"/>
                <w:sz w:val="14"/>
                <w:szCs w:val="14"/>
                <w:b w:val="1"/>
                <w:bCs w:val="1"/>
                <w:color w:val="auto"/>
              </w:rPr>
              <w:t>May 3,</w:t>
            </w:r>
          </w:p>
        </w:tc>
        <w:tc>
          <w:tcPr>
            <w:tcW w:w="860" w:type="dxa"/>
            <w:vAlign w:val="bottom"/>
          </w:tcPr>
          <w:p>
            <w:pPr>
              <w:jc w:val="right"/>
              <w:ind w:right="42"/>
              <w:spacing w:after="0" w:line="147" w:lineRule="exact"/>
              <w:rPr>
                <w:sz w:val="20"/>
                <w:szCs w:val="20"/>
                <w:color w:val="auto"/>
              </w:rPr>
            </w:pPr>
            <w:r>
              <w:rPr>
                <w:rFonts w:ascii="Arial" w:cs="Arial" w:eastAsia="Arial" w:hAnsi="Arial"/>
                <w:sz w:val="14"/>
                <w:szCs w:val="14"/>
                <w:i w:val="1"/>
                <w:iCs w:val="1"/>
                <w:color w:val="auto"/>
              </w:rPr>
              <w:t>Percent</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May 5,</w:t>
            </w:r>
          </w:p>
        </w:tc>
      </w:tr>
      <w:tr>
        <w:trPr>
          <w:trHeight w:val="185"/>
        </w:trPr>
        <w:tc>
          <w:tcPr>
            <w:tcW w:w="7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i w:val="1"/>
                <w:iCs w:val="1"/>
                <w:color w:val="auto"/>
              </w:rPr>
              <w:t>change</w:t>
            </w: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r>
      <w:tr>
        <w:trPr>
          <w:trHeight w:val="192"/>
        </w:trPr>
        <w:tc>
          <w:tcPr>
            <w:tcW w:w="7440" w:type="dxa"/>
            <w:vAlign w:val="bottom"/>
            <w:tcBorders>
              <w:lef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spacing w:after="0"/>
              <w:rPr>
                <w:sz w:val="20"/>
                <w:szCs w:val="20"/>
                <w:color w:val="auto"/>
              </w:rPr>
            </w:pPr>
            <w:r>
              <w:rPr>
                <w:rFonts w:ascii="Arial" w:cs="Arial" w:eastAsia="Arial" w:hAnsi="Arial"/>
                <w:sz w:val="14"/>
                <w:szCs w:val="14"/>
                <w:color w:val="auto"/>
              </w:rPr>
              <w:t>(in millions, except per share amounts)</w:t>
            </w:r>
          </w:p>
        </w:tc>
        <w:tc>
          <w:tcPr>
            <w:tcW w:w="680" w:type="dxa"/>
            <w:vAlign w:val="bottom"/>
            <w:tcBorders>
              <w:right w:val="single" w:sz="8" w:color="auto"/>
            </w:tcBorders>
          </w:tcPr>
          <w:p>
            <w:pPr>
              <w:spacing w:after="0"/>
              <w:rPr>
                <w:sz w:val="16"/>
                <w:szCs w:val="16"/>
                <w:color w:val="auto"/>
              </w:rPr>
            </w:pPr>
          </w:p>
        </w:tc>
      </w:tr>
      <w:tr>
        <w:trPr>
          <w:trHeight w:val="233"/>
        </w:trPr>
        <w:tc>
          <w:tcPr>
            <w:tcW w:w="7440" w:type="dxa"/>
            <w:vAlign w:val="bottom"/>
            <w:tcBorders>
              <w:left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FF0FC"/>
          </w:tcPr>
          <w:p>
            <w:pPr>
              <w:jc w:val="right"/>
              <w:ind w:right="338"/>
              <w:spacing w:after="0"/>
              <w:rPr>
                <w:sz w:val="20"/>
                <w:szCs w:val="20"/>
                <w:color w:val="auto"/>
              </w:rPr>
            </w:pPr>
            <w:r>
              <w:rPr>
                <w:rFonts w:ascii="Arial" w:cs="Arial" w:eastAsia="Arial" w:hAnsi="Arial"/>
                <w:sz w:val="18"/>
                <w:szCs w:val="18"/>
                <w:b w:val="1"/>
                <w:bCs w:val="1"/>
                <w:color w:val="auto"/>
              </w:rPr>
              <w:t>1,847</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(9)</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i w:val="1"/>
                <w:iCs w:val="1"/>
                <w:color w:val="auto"/>
              </w:rPr>
              <w:t>%</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97"/>
              </w:rPr>
              <w:t>2,028</w:t>
            </w:r>
          </w:p>
        </w:tc>
      </w:tr>
      <w:tr>
        <w:trPr>
          <w:trHeight w:val="236"/>
        </w:trPr>
        <w:tc>
          <w:tcPr>
            <w:tcW w:w="7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0"/>
                <w:szCs w:val="20"/>
                <w:color w:val="auto"/>
              </w:rPr>
            </w:pPr>
          </w:p>
        </w:tc>
        <w:tc>
          <w:tcPr>
            <w:tcW w:w="1100" w:type="dxa"/>
            <w:vAlign w:val="bottom"/>
          </w:tcPr>
          <w:p>
            <w:pPr>
              <w:jc w:val="right"/>
              <w:ind w:right="338"/>
              <w:spacing w:after="0"/>
              <w:rPr>
                <w:sz w:val="20"/>
                <w:szCs w:val="20"/>
                <w:color w:val="auto"/>
              </w:rPr>
            </w:pPr>
            <w:r>
              <w:rPr>
                <w:rFonts w:ascii="Arial" w:cs="Arial" w:eastAsia="Arial" w:hAnsi="Arial"/>
                <w:sz w:val="18"/>
                <w:szCs w:val="18"/>
                <w:b w:val="1"/>
                <w:bCs w:val="1"/>
                <w:color w:val="auto"/>
              </w:rPr>
              <w:t>131</w:t>
            </w: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(17)</w:t>
            </w:r>
          </w:p>
        </w:tc>
        <w:tc>
          <w:tcPr>
            <w:tcW w:w="320" w:type="dxa"/>
            <w:vAlign w:val="bottom"/>
          </w:tcPr>
          <w:p>
            <w:pPr>
              <w:jc w:val="right"/>
              <w:ind w:right="39"/>
              <w:spacing w:after="0"/>
              <w:rPr>
                <w:sz w:val="20"/>
                <w:szCs w:val="20"/>
                <w:color w:val="auto"/>
              </w:rPr>
            </w:pPr>
            <w:r>
              <w:rPr>
                <w:rFonts w:ascii="Arial" w:cs="Arial" w:eastAsia="Arial" w:hAnsi="Arial"/>
                <w:sz w:val="16"/>
                <w:szCs w:val="16"/>
                <w:i w:val="1"/>
                <w:iCs w:val="1"/>
                <w:color w:val="auto"/>
              </w:rPr>
              <w:t>%</w:t>
            </w:r>
          </w:p>
        </w:tc>
        <w:tc>
          <w:tcPr>
            <w:tcW w:w="520" w:type="dxa"/>
            <w:vAlign w:val="bottom"/>
          </w:tcPr>
          <w:p>
            <w:pPr>
              <w:spacing w:after="0"/>
              <w:rPr>
                <w:sz w:val="20"/>
                <w:szCs w:val="20"/>
                <w:color w:val="auto"/>
              </w:rPr>
            </w:pPr>
          </w:p>
        </w:tc>
        <w:tc>
          <w:tcPr>
            <w:tcW w:w="68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rPr>
              <w:t>157</w:t>
            </w:r>
          </w:p>
        </w:tc>
      </w:tr>
      <w:tr>
        <w:trPr>
          <w:trHeight w:val="195"/>
        </w:trPr>
        <w:tc>
          <w:tcPr>
            <w:tcW w:w="7440" w:type="dxa"/>
            <w:vAlign w:val="bottom"/>
            <w:tcBorders>
              <w:left w:val="single" w:sz="8" w:color="auto"/>
            </w:tcBorders>
          </w:tcPr>
          <w:p>
            <w:pPr>
              <w:ind w:left="160"/>
              <w:spacing w:after="0"/>
              <w:rPr>
                <w:sz w:val="20"/>
                <w:szCs w:val="20"/>
                <w:color w:val="auto"/>
              </w:rPr>
            </w:pPr>
            <w:r>
              <w:rPr>
                <w:rFonts w:ascii="Arial" w:cs="Arial" w:eastAsia="Arial" w:hAnsi="Arial"/>
                <w:sz w:val="14"/>
                <w:szCs w:val="14"/>
                <w:i w:val="1"/>
                <w:iCs w:val="1"/>
                <w:color w:val="auto"/>
              </w:rPr>
              <w:t>Operating income as a percentage of revenues</w:t>
            </w:r>
          </w:p>
        </w:tc>
        <w:tc>
          <w:tcPr>
            <w:tcW w:w="340" w:type="dxa"/>
            <w:vAlign w:val="bottom"/>
          </w:tcPr>
          <w:p>
            <w:pPr>
              <w:spacing w:after="0"/>
              <w:rPr>
                <w:sz w:val="16"/>
                <w:szCs w:val="16"/>
                <w:color w:val="auto"/>
              </w:rPr>
            </w:pPr>
          </w:p>
        </w:tc>
        <w:tc>
          <w:tcPr>
            <w:tcW w:w="1100" w:type="dxa"/>
            <w:vAlign w:val="bottom"/>
          </w:tcPr>
          <w:p>
            <w:pPr>
              <w:jc w:val="right"/>
              <w:ind w:right="158"/>
              <w:spacing w:after="0"/>
              <w:rPr>
                <w:sz w:val="20"/>
                <w:szCs w:val="20"/>
                <w:color w:val="auto"/>
              </w:rPr>
            </w:pPr>
            <w:r>
              <w:rPr>
                <w:rFonts w:ascii="Arial" w:cs="Arial" w:eastAsia="Arial" w:hAnsi="Arial"/>
                <w:sz w:val="14"/>
                <w:szCs w:val="14"/>
                <w:b w:val="1"/>
                <w:bCs w:val="1"/>
                <w:i w:val="1"/>
                <w:iCs w:val="1"/>
                <w:color w:val="auto"/>
              </w:rPr>
              <w:t>7.1 %</w:t>
            </w:r>
          </w:p>
        </w:tc>
        <w:tc>
          <w:tcPr>
            <w:tcW w:w="1180" w:type="dxa"/>
            <w:vAlign w:val="bottom"/>
            <w:gridSpan w:val="2"/>
          </w:tcPr>
          <w:p>
            <w:pPr>
              <w:jc w:val="right"/>
              <w:ind w:right="39"/>
              <w:spacing w:after="0"/>
              <w:rPr>
                <w:sz w:val="20"/>
                <w:szCs w:val="20"/>
                <w:color w:val="auto"/>
              </w:rPr>
            </w:pPr>
            <w:r>
              <w:rPr>
                <w:rFonts w:ascii="Arial" w:cs="Arial" w:eastAsia="Arial" w:hAnsi="Arial"/>
                <w:sz w:val="14"/>
                <w:szCs w:val="14"/>
                <w:i w:val="1"/>
                <w:iCs w:val="1"/>
                <w:color w:val="auto"/>
              </w:rPr>
              <w:t>-60 bps</w:t>
            </w:r>
          </w:p>
        </w:tc>
        <w:tc>
          <w:tcPr>
            <w:tcW w:w="520" w:type="dxa"/>
            <w:vAlign w:val="bottom"/>
          </w:tcPr>
          <w:p>
            <w:pPr>
              <w:spacing w:after="0"/>
              <w:rPr>
                <w:sz w:val="16"/>
                <w:szCs w:val="16"/>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4"/>
                <w:szCs w:val="14"/>
                <w:i w:val="1"/>
                <w:iCs w:val="1"/>
                <w:color w:val="auto"/>
              </w:rPr>
              <w:t>7.7 %</w:t>
            </w:r>
          </w:p>
        </w:tc>
      </w:tr>
      <w:tr>
        <w:trPr>
          <w:trHeight w:val="231"/>
        </w:trPr>
        <w:tc>
          <w:tcPr>
            <w:tcW w:w="7440" w:type="dxa"/>
            <w:vAlign w:val="bottom"/>
            <w:tcBorders>
              <w:left w:val="single" w:sz="8" w:color="auto"/>
            </w:tcBorders>
            <w:shd w:val="clear" w:color="auto" w:fill="CFF0FC"/>
          </w:tcPr>
          <w:p>
            <w:pPr>
              <w:ind w:left="40"/>
              <w:spacing w:after="0" w:line="231" w:lineRule="exact"/>
              <w:rPr>
                <w:sz w:val="20"/>
                <w:szCs w:val="20"/>
                <w:color w:val="auto"/>
              </w:rPr>
            </w:pPr>
            <w:r>
              <w:rPr>
                <w:rFonts w:ascii="Arial" w:cs="Arial" w:eastAsia="Arial" w:hAnsi="Arial"/>
                <w:sz w:val="18"/>
                <w:szCs w:val="18"/>
                <w:color w:val="auto"/>
              </w:rPr>
              <w:t>Adjusted operating income</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38"/>
              <w:spacing w:after="0"/>
              <w:rPr>
                <w:sz w:val="20"/>
                <w:szCs w:val="20"/>
                <w:color w:val="auto"/>
              </w:rPr>
            </w:pPr>
            <w:r>
              <w:rPr>
                <w:rFonts w:ascii="Arial" w:cs="Arial" w:eastAsia="Arial" w:hAnsi="Arial"/>
                <w:sz w:val="18"/>
                <w:szCs w:val="18"/>
                <w:b w:val="1"/>
                <w:bCs w:val="1"/>
                <w:color w:val="auto"/>
              </w:rPr>
              <w:t>159</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(12)</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i w:val="1"/>
                <w:iCs w:val="1"/>
                <w:color w:val="auto"/>
              </w:rPr>
              <w:t>%</w:t>
            </w:r>
          </w:p>
        </w:tc>
        <w:tc>
          <w:tcPr>
            <w:tcW w:w="52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rPr>
              <w:t>181</w:t>
            </w:r>
          </w:p>
        </w:tc>
      </w:tr>
      <w:tr>
        <w:trPr>
          <w:trHeight w:val="203"/>
        </w:trPr>
        <w:tc>
          <w:tcPr>
            <w:tcW w:w="7440" w:type="dxa"/>
            <w:vAlign w:val="bottom"/>
            <w:tcBorders>
              <w:left w:val="single" w:sz="8" w:color="auto"/>
            </w:tcBorders>
            <w:shd w:val="clear" w:color="auto" w:fill="CFF0FC"/>
          </w:tcPr>
          <w:p>
            <w:pPr>
              <w:ind w:left="160"/>
              <w:spacing w:after="0"/>
              <w:rPr>
                <w:sz w:val="20"/>
                <w:szCs w:val="20"/>
                <w:color w:val="auto"/>
              </w:rPr>
            </w:pPr>
            <w:r>
              <w:rPr>
                <w:rFonts w:ascii="Arial" w:cs="Arial" w:eastAsia="Arial" w:hAnsi="Arial"/>
                <w:sz w:val="14"/>
                <w:szCs w:val="14"/>
                <w:i w:val="1"/>
                <w:iCs w:val="1"/>
                <w:color w:val="auto"/>
              </w:rPr>
              <w:t>Adjusted operating income as a percentage of revenues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58"/>
              <w:spacing w:after="0"/>
              <w:rPr>
                <w:sz w:val="20"/>
                <w:szCs w:val="20"/>
                <w:color w:val="auto"/>
              </w:rPr>
            </w:pPr>
            <w:r>
              <w:rPr>
                <w:rFonts w:ascii="Arial" w:cs="Arial" w:eastAsia="Arial" w:hAnsi="Arial"/>
                <w:sz w:val="14"/>
                <w:szCs w:val="14"/>
                <w:b w:val="1"/>
                <w:bCs w:val="1"/>
                <w:i w:val="1"/>
                <w:iCs w:val="1"/>
                <w:color w:val="auto"/>
              </w:rPr>
              <w:t>8.6 %</w:t>
            </w: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i w:val="1"/>
                <w:iCs w:val="1"/>
                <w:color w:val="auto"/>
              </w:rPr>
              <w:t>-30 bps</w:t>
            </w:r>
          </w:p>
        </w:tc>
        <w:tc>
          <w:tcPr>
            <w:tcW w:w="52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8.9 %</w:t>
            </w:r>
          </w:p>
        </w:tc>
      </w:tr>
      <w:tr>
        <w:trPr>
          <w:trHeight w:val="229"/>
        </w:trPr>
        <w:tc>
          <w:tcPr>
            <w:tcW w:w="7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b w:val="1"/>
                <w:bCs w:val="1"/>
                <w:color w:val="auto"/>
              </w:rPr>
              <w:t>77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(21)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98</w:t>
            </w:r>
          </w:p>
        </w:tc>
      </w:tr>
      <w:tr>
        <w:trPr>
          <w:trHeight w:val="223"/>
        </w:trPr>
        <w:tc>
          <w:tcPr>
            <w:tcW w:w="7440" w:type="dxa"/>
            <w:vAlign w:val="bottom"/>
            <w:tcBorders>
              <w:left w:val="single" w:sz="8" w:color="auto"/>
            </w:tcBorders>
            <w:shd w:val="clear" w:color="auto" w:fill="CFF0FC"/>
          </w:tcPr>
          <w:p>
            <w:pPr>
              <w:ind w:left="40"/>
              <w:spacing w:after="0" w:line="223" w:lineRule="exact"/>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8"/>
              <w:spacing w:after="0"/>
              <w:rPr>
                <w:sz w:val="20"/>
                <w:szCs w:val="20"/>
                <w:color w:val="auto"/>
              </w:rPr>
            </w:pPr>
            <w:r>
              <w:rPr>
                <w:rFonts w:ascii="Arial" w:cs="Arial" w:eastAsia="Arial" w:hAnsi="Arial"/>
                <w:sz w:val="18"/>
                <w:szCs w:val="18"/>
                <w:b w:val="1"/>
                <w:bCs w:val="1"/>
                <w:color w:val="auto"/>
              </w:rPr>
              <w:t>167</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(14)</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i w:val="1"/>
                <w:iCs w:val="1"/>
                <w:color w:val="auto"/>
              </w:rPr>
              <w:t>%</w:t>
            </w:r>
          </w:p>
        </w:tc>
        <w:tc>
          <w:tcPr>
            <w:tcW w:w="52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rPr>
              <w:t>194</w:t>
            </w:r>
          </w:p>
        </w:tc>
      </w:tr>
      <w:tr>
        <w:trPr>
          <w:trHeight w:val="203"/>
        </w:trPr>
        <w:tc>
          <w:tcPr>
            <w:tcW w:w="7440" w:type="dxa"/>
            <w:vAlign w:val="bottom"/>
            <w:tcBorders>
              <w:left w:val="single" w:sz="8" w:color="auto"/>
            </w:tcBorders>
            <w:shd w:val="clear" w:color="auto" w:fill="CFF0FC"/>
          </w:tcPr>
          <w:p>
            <w:pPr>
              <w:ind w:left="160"/>
              <w:spacing w:after="0"/>
              <w:rPr>
                <w:sz w:val="20"/>
                <w:szCs w:val="20"/>
                <w:color w:val="auto"/>
              </w:rPr>
            </w:pPr>
            <w:r>
              <w:rPr>
                <w:rFonts w:ascii="Arial" w:cs="Arial" w:eastAsia="Arial" w:hAnsi="Arial"/>
                <w:sz w:val="14"/>
                <w:szCs w:val="14"/>
                <w:i w:val="1"/>
                <w:iCs w:val="1"/>
                <w:color w:val="auto"/>
              </w:rPr>
              <w:t>EBITDA as a percentage of revenues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58"/>
              <w:spacing w:after="0"/>
              <w:rPr>
                <w:sz w:val="20"/>
                <w:szCs w:val="20"/>
                <w:color w:val="auto"/>
              </w:rPr>
            </w:pPr>
            <w:r>
              <w:rPr>
                <w:rFonts w:ascii="Arial" w:cs="Arial" w:eastAsia="Arial" w:hAnsi="Arial"/>
                <w:sz w:val="14"/>
                <w:szCs w:val="14"/>
                <w:b w:val="1"/>
                <w:bCs w:val="1"/>
                <w:i w:val="1"/>
                <w:iCs w:val="1"/>
                <w:color w:val="auto"/>
              </w:rPr>
              <w:t>9.0 %</w:t>
            </w: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i w:val="1"/>
                <w:iCs w:val="1"/>
                <w:color w:val="auto"/>
              </w:rPr>
              <w:t>-60 bps</w:t>
            </w:r>
          </w:p>
        </w:tc>
        <w:tc>
          <w:tcPr>
            <w:tcW w:w="52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9.6 %</w:t>
            </w:r>
          </w:p>
        </w:tc>
      </w:tr>
      <w:tr>
        <w:trPr>
          <w:trHeight w:val="236"/>
        </w:trPr>
        <w:tc>
          <w:tcPr>
            <w:tcW w:w="7440" w:type="dxa"/>
            <w:vAlign w:val="bottom"/>
            <w:tcBorders>
              <w:left w:val="single" w:sz="8" w:color="auto"/>
            </w:tcBorders>
          </w:tcPr>
          <w:p>
            <w:pPr>
              <w:ind w:left="40"/>
              <w:spacing w:after="0" w:line="235"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40" w:type="dxa"/>
            <w:vAlign w:val="bottom"/>
          </w:tcPr>
          <w:p>
            <w:pPr>
              <w:spacing w:after="0"/>
              <w:rPr>
                <w:sz w:val="20"/>
                <w:szCs w:val="20"/>
                <w:color w:val="auto"/>
              </w:rPr>
            </w:pPr>
          </w:p>
        </w:tc>
        <w:tc>
          <w:tcPr>
            <w:tcW w:w="1100" w:type="dxa"/>
            <w:vAlign w:val="bottom"/>
          </w:tcPr>
          <w:p>
            <w:pPr>
              <w:jc w:val="right"/>
              <w:ind w:right="338"/>
              <w:spacing w:after="0"/>
              <w:rPr>
                <w:sz w:val="20"/>
                <w:szCs w:val="20"/>
                <w:color w:val="auto"/>
              </w:rPr>
            </w:pPr>
            <w:r>
              <w:rPr>
                <w:rFonts w:ascii="Arial" w:cs="Arial" w:eastAsia="Arial" w:hAnsi="Arial"/>
                <w:sz w:val="18"/>
                <w:szCs w:val="18"/>
                <w:b w:val="1"/>
                <w:bCs w:val="1"/>
                <w:color w:val="auto"/>
              </w:rPr>
              <w:t>166</w:t>
            </w: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(12)</w:t>
            </w:r>
          </w:p>
        </w:tc>
        <w:tc>
          <w:tcPr>
            <w:tcW w:w="320" w:type="dxa"/>
            <w:vAlign w:val="bottom"/>
          </w:tcPr>
          <w:p>
            <w:pPr>
              <w:jc w:val="right"/>
              <w:ind w:right="39"/>
              <w:spacing w:after="0"/>
              <w:rPr>
                <w:sz w:val="20"/>
                <w:szCs w:val="20"/>
                <w:color w:val="auto"/>
              </w:rPr>
            </w:pPr>
            <w:r>
              <w:rPr>
                <w:rFonts w:ascii="Arial" w:cs="Arial" w:eastAsia="Arial" w:hAnsi="Arial"/>
                <w:sz w:val="16"/>
                <w:szCs w:val="16"/>
                <w:i w:val="1"/>
                <w:iCs w:val="1"/>
                <w:color w:val="auto"/>
              </w:rPr>
              <w:t>%</w:t>
            </w:r>
          </w:p>
        </w:tc>
        <w:tc>
          <w:tcPr>
            <w:tcW w:w="520" w:type="dxa"/>
            <w:vAlign w:val="bottom"/>
          </w:tcPr>
          <w:p>
            <w:pPr>
              <w:spacing w:after="0"/>
              <w:rPr>
                <w:sz w:val="20"/>
                <w:szCs w:val="20"/>
                <w:color w:val="auto"/>
              </w:rPr>
            </w:pPr>
          </w:p>
        </w:tc>
        <w:tc>
          <w:tcPr>
            <w:tcW w:w="68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rPr>
              <w:t>189</w:t>
            </w:r>
          </w:p>
        </w:tc>
      </w:tr>
      <w:tr>
        <w:trPr>
          <w:trHeight w:val="195"/>
        </w:trPr>
        <w:tc>
          <w:tcPr>
            <w:tcW w:w="74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4"/>
                <w:szCs w:val="14"/>
                <w:i w:val="1"/>
                <w:iCs w:val="1"/>
                <w:color w:val="auto"/>
              </w:rPr>
              <w:t>Adjusted EBITDA as a percentage of revenues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i w:val="1"/>
                <w:iCs w:val="1"/>
                <w:color w:val="auto"/>
              </w:rPr>
              <w:t>9.0 %</w:t>
            </w:r>
          </w:p>
        </w:tc>
        <w:tc>
          <w:tcPr>
            <w:tcW w:w="11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i w:val="1"/>
                <w:iCs w:val="1"/>
                <w:color w:val="auto"/>
              </w:rPr>
              <w:t>-30 bps</w:t>
            </w: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i w:val="1"/>
                <w:iCs w:val="1"/>
                <w:color w:val="auto"/>
              </w:rPr>
              <w:t>9.3 %</w:t>
            </w:r>
          </w:p>
        </w:tc>
      </w:tr>
      <w:tr>
        <w:trPr>
          <w:trHeight w:val="224"/>
        </w:trPr>
        <w:tc>
          <w:tcPr>
            <w:tcW w:w="7440" w:type="dxa"/>
            <w:vAlign w:val="bottom"/>
            <w:tcBorders>
              <w:left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FF0FC"/>
          </w:tcPr>
          <w:p>
            <w:pPr>
              <w:jc w:val="right"/>
              <w:ind w:right="338"/>
              <w:spacing w:after="0"/>
              <w:rPr>
                <w:sz w:val="20"/>
                <w:szCs w:val="20"/>
                <w:color w:val="auto"/>
              </w:rPr>
            </w:pPr>
            <w:r>
              <w:rPr>
                <w:rFonts w:ascii="Arial" w:cs="Arial" w:eastAsia="Arial" w:hAnsi="Arial"/>
                <w:sz w:val="18"/>
                <w:szCs w:val="18"/>
                <w:b w:val="1"/>
                <w:bCs w:val="1"/>
                <w:color w:val="auto"/>
              </w:rPr>
              <w:t>1.48</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(17)</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i w:val="1"/>
                <w:iCs w:val="1"/>
                <w:color w:val="auto"/>
              </w:rPr>
              <w:t>%</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rPr>
              <w:t>1.79</w:t>
            </w:r>
          </w:p>
        </w:tc>
      </w:tr>
      <w:tr>
        <w:trPr>
          <w:trHeight w:val="230"/>
        </w:trPr>
        <w:tc>
          <w:tcPr>
            <w:tcW w:w="7440" w:type="dxa"/>
            <w:vAlign w:val="bottom"/>
            <w:tcBorders>
              <w:left w:val="single" w:sz="8" w:color="auto"/>
              <w:bottom w:val="single" w:sz="8" w:color="auto"/>
            </w:tcBorders>
          </w:tcPr>
          <w:p>
            <w:pPr>
              <w:ind w:left="40"/>
              <w:spacing w:after="0" w:line="230" w:lineRule="exact"/>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23"/>
                <w:szCs w:val="23"/>
                <w:color w:val="auto"/>
                <w:vertAlign w:val="superscript"/>
              </w:rPr>
              <w:t>(1)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b w:val="1"/>
                <w:bCs w:val="1"/>
                <w:color w:val="auto"/>
              </w:rPr>
              <w:t>1.92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2.14</w:t>
            </w:r>
          </w:p>
        </w:tc>
      </w:tr>
      <w:tr>
        <w:trPr>
          <w:trHeight w:val="223"/>
        </w:trPr>
        <w:tc>
          <w:tcPr>
            <w:tcW w:w="7440" w:type="dxa"/>
            <w:vAlign w:val="bottom"/>
            <w:tcBorders>
              <w:left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FF0FC"/>
          </w:tcPr>
          <w:p>
            <w:pPr>
              <w:jc w:val="right"/>
              <w:ind w:right="338"/>
              <w:spacing w:after="0"/>
              <w:rPr>
                <w:sz w:val="20"/>
                <w:szCs w:val="20"/>
                <w:color w:val="auto"/>
              </w:rPr>
            </w:pPr>
            <w:r>
              <w:rPr>
                <w:rFonts w:ascii="Arial" w:cs="Arial" w:eastAsia="Arial" w:hAnsi="Arial"/>
                <w:sz w:val="18"/>
                <w:szCs w:val="18"/>
                <w:b w:val="1"/>
                <w:bCs w:val="1"/>
                <w:color w:val="auto"/>
              </w:rPr>
              <w:t>98</w:t>
            </w:r>
          </w:p>
        </w:tc>
        <w:tc>
          <w:tcPr>
            <w:tcW w:w="860" w:type="dxa"/>
            <w:vAlign w:val="bottom"/>
            <w:shd w:val="clear" w:color="auto" w:fill="CFF0FC"/>
          </w:tcPr>
          <w:p>
            <w:pPr>
              <w:jc w:val="right"/>
              <w:ind w:right="2"/>
              <w:spacing w:after="0"/>
              <w:rPr>
                <w:sz w:val="20"/>
                <w:szCs w:val="20"/>
                <w:color w:val="auto"/>
              </w:rPr>
            </w:pPr>
            <w:r>
              <w:rPr>
                <w:rFonts w:ascii="Arial" w:cs="Arial" w:eastAsia="Arial" w:hAnsi="Arial"/>
                <w:sz w:val="16"/>
                <w:szCs w:val="16"/>
                <w:i w:val="1"/>
                <w:iCs w:val="1"/>
                <w:color w:val="auto"/>
              </w:rPr>
              <w:t>20</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i w:val="1"/>
                <w:iCs w:val="1"/>
                <w:color w:val="auto"/>
              </w:rPr>
              <w:t>%</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rPr>
              <w:t>82</w:t>
            </w:r>
          </w:p>
        </w:tc>
      </w:tr>
      <w:tr>
        <w:trPr>
          <w:trHeight w:val="230"/>
        </w:trPr>
        <w:tc>
          <w:tcPr>
            <w:tcW w:w="7440" w:type="dxa"/>
            <w:vAlign w:val="bottom"/>
            <w:tcBorders>
              <w:left w:val="single" w:sz="8" w:color="auto"/>
            </w:tcBorders>
          </w:tcPr>
          <w:p>
            <w:pPr>
              <w:ind w:left="40"/>
              <w:spacing w:after="0" w:line="230"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38"/>
              <w:spacing w:after="0"/>
              <w:rPr>
                <w:sz w:val="20"/>
                <w:szCs w:val="20"/>
                <w:color w:val="auto"/>
              </w:rPr>
            </w:pPr>
            <w:r>
              <w:rPr>
                <w:rFonts w:ascii="Arial" w:cs="Arial" w:eastAsia="Arial" w:hAnsi="Arial"/>
                <w:sz w:val="18"/>
                <w:szCs w:val="18"/>
                <w:b w:val="1"/>
                <w:bCs w:val="1"/>
                <w:color w:val="auto"/>
              </w:rPr>
              <w:t>13</w:t>
            </w: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(83)</w:t>
            </w:r>
          </w:p>
        </w:tc>
        <w:tc>
          <w:tcPr>
            <w:tcW w:w="320" w:type="dxa"/>
            <w:vAlign w:val="bottom"/>
          </w:tcPr>
          <w:p>
            <w:pPr>
              <w:jc w:val="right"/>
              <w:ind w:right="39"/>
              <w:spacing w:after="0"/>
              <w:rPr>
                <w:sz w:val="20"/>
                <w:szCs w:val="20"/>
                <w:color w:val="auto"/>
              </w:rPr>
            </w:pPr>
            <w:r>
              <w:rPr>
                <w:rFonts w:ascii="Arial" w:cs="Arial" w:eastAsia="Arial" w:hAnsi="Arial"/>
                <w:sz w:val="16"/>
                <w:szCs w:val="16"/>
                <w:i w:val="1"/>
                <w:iCs w:val="1"/>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rPr>
              <w:t>76</w:t>
            </w:r>
          </w:p>
        </w:tc>
      </w:tr>
      <w:tr>
        <w:trPr>
          <w:trHeight w:val="230"/>
        </w:trPr>
        <w:tc>
          <w:tcPr>
            <w:tcW w:w="7440" w:type="dxa"/>
            <w:vAlign w:val="bottom"/>
            <w:tcBorders>
              <w:left w:val="single" w:sz="8" w:color="auto"/>
              <w:bottom w:val="single" w:sz="8" w:color="auto"/>
            </w:tcBorders>
            <w:shd w:val="clear" w:color="auto" w:fill="CFF0FC"/>
          </w:tcPr>
          <w:p>
            <w:pPr>
              <w:ind w:left="40"/>
              <w:spacing w:after="0" w:line="230" w:lineRule="exact"/>
              <w:rPr>
                <w:sz w:val="20"/>
                <w:szCs w:val="20"/>
                <w:color w:val="auto"/>
              </w:rPr>
            </w:pPr>
            <w:r>
              <w:rPr>
                <w:rFonts w:ascii="Arial" w:cs="Arial" w:eastAsia="Arial" w:hAnsi="Arial"/>
                <w:sz w:val="18"/>
                <w:szCs w:val="18"/>
                <w:color w:val="auto"/>
              </w:rPr>
              <w:t>Transaction-adjusted free cash flow</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FF0FC"/>
          </w:tcPr>
          <w:p>
            <w:pPr>
              <w:jc w:val="right"/>
              <w:ind w:right="338"/>
              <w:spacing w:after="0"/>
              <w:rPr>
                <w:sz w:val="20"/>
                <w:szCs w:val="20"/>
                <w:color w:val="auto"/>
              </w:rPr>
            </w:pPr>
            <w:r>
              <w:rPr>
                <w:rFonts w:ascii="Arial" w:cs="Arial" w:eastAsia="Arial" w:hAnsi="Arial"/>
                <w:sz w:val="18"/>
                <w:szCs w:val="18"/>
                <w:b w:val="1"/>
                <w:bCs w:val="1"/>
                <w:color w:val="auto"/>
              </w:rPr>
              <w:t>21</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i w:val="1"/>
                <w:iCs w:val="1"/>
                <w:color w:val="auto"/>
              </w:rPr>
              <w:t>(72)</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i w:val="1"/>
                <w:iCs w:val="1"/>
                <w:color w:val="auto"/>
              </w:rPr>
              <w:t>%</w:t>
            </w: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right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Non-GAAP measure, see Schedule 6 for information about this measure.</w:t>
      </w:r>
    </w:p>
    <w:p>
      <w:pPr>
        <w:sectPr>
          <w:pgSz w:w="11900" w:h="16838" w:orient="portrait"/>
          <w:cols w:equalWidth="0" w:num="1">
            <w:col w:w="11260"/>
          </w:cols>
          <w:pgMar w:left="320" w:top="890"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First Quarter Summary Results</w:t>
      </w:r>
    </w:p>
    <w:p>
      <w:pPr>
        <w:spacing w:after="0" w:line="18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Revenues for the quarter decreased $181 million or 9% compared to the same period in the prior year primarily due to the sale of the logistics and supply chain management business ("Supply Chain Business") ($188 million) in the prior year and contract completions, partially offset by ramp up in volume on existing and new contracts. Adjusting for the impact of the divestiture of the Supply Chain Business, revenues grew 0.4%.</w:t>
      </w:r>
    </w:p>
    <w:p>
      <w:pPr>
        <w:spacing w:after="0" w:line="68"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Operating income as a percentage of revenues decreased from the comparable prior year period primarily due to the sale of the Supply Chain Business in the prior year, a gain recognized from the deconsolidation of FSA in the prior year period, and contract completions, partially offset by ramp up in volume on existing and new contracts.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Adjusted EBITDA</w:t>
      </w:r>
      <w:r>
        <w:rPr>
          <w:rFonts w:ascii="Arial" w:cs="Arial" w:eastAsia="Arial" w:hAnsi="Arial"/>
          <w:sz w:val="10"/>
          <w:szCs w:val="10"/>
          <w:color w:val="auto"/>
        </w:rPr>
        <w:t>(1)</w:t>
      </w:r>
      <w:r>
        <w:rPr>
          <w:rFonts w:ascii="Arial" w:cs="Arial" w:eastAsia="Arial" w:hAnsi="Arial"/>
          <w:sz w:val="18"/>
          <w:szCs w:val="18"/>
          <w:color w:val="auto"/>
        </w:rPr>
        <w:t xml:space="preserve"> as a percentage of revenues for the quarter decreased to 9.0% from 9.3% for the same period in the prior year primarily due to contract completions, partially offset by ramp up in volume on existing and new contracts.</w:t>
      </w:r>
    </w:p>
    <w:p>
      <w:pPr>
        <w:spacing w:after="0" w:line="45"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Diluted earnings per share for the quarter was $ 1.48 compared to $1.79 in the prior year quarter. Adjusted diluted earnings per share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for the quarter was $1.92 compared to $2.14 in the prior year quarter. The weighted-average diluted shares outstanding during the quarter decreased to 52.1 million from 54.8 million during the prior year quarter.</w:t>
      </w:r>
    </w:p>
    <w:p>
      <w:pPr>
        <w:spacing w:after="0" w:line="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February 3, 2024, the first day of fiscal 2025, SAIC completed a business reorganization which replaced its previous two operating sectors with five customer facing business groups supported by the enterprise organizations, including the Innovation Factory. The five business groups represent SAIC's operating segments and have been aggregated into two reportable segments (Defense and Intelligence, and Civilian) given the similarity in economic and qualitative characteristics, and based on the nature of the customers they serve. See "Schedule 4 - Segment Operating Results" for reportable segment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Generation and Capital Deployment</w:t>
      </w:r>
    </w:p>
    <w:p>
      <w:pPr>
        <w:spacing w:after="0" w:line="185"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Cash flows provided by operating activities for the first quarter increased $16 million compared to the prior year quarter, primarily due to higher cash provided by the Master Accounts Receivable Purchase Agreement ("MARPA Facility") in the current year, partially offset by higher incentive-based compensation payments in the current year and other changes in working capital.</w:t>
      </w:r>
    </w:p>
    <w:p>
      <w:pPr>
        <w:spacing w:after="0" w:line="13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During the quarter, SAIC deployed $107 million of capital, consisting of $81 million of plan share repurchases, $20 million in cash dividends, and $6 million of capital expenditures.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Dividend Declared</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previously announced, subsequent to quarter end, the Company's Board of Directors declared a cash dividend of $0.37 per share of the Company's common stock payable on July 26, 2024 to stockholders of record on July 12, 2024. SAIC intends to continue paying dividends on a quarterly basis, although the declaration of any future dividends will be determined by the Board of Directors each quarter and will depend on earnings, financial condition, capital requirements and other factors.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Backlog and Contract Awards</w:t>
      </w:r>
    </w:p>
    <w:p>
      <w:pPr>
        <w:spacing w:after="0" w:line="18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Net bookings for the quarter were approximately $2.6 billion, which reflects a book-to-bill ratio of 1.4 and a trailing twelve months book-to-bill ratio of 1.0. SAIC’s estimated backlog at the end of the quarter was approximately $23.6 billion. Of the total backlog amount, approximately $3.5 billion was funded.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Notable New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Space Force: </w:t>
      </w:r>
      <w:r>
        <w:rPr>
          <w:rFonts w:ascii="Arial" w:cs="Arial" w:eastAsia="Arial" w:hAnsi="Arial"/>
          <w:sz w:val="18"/>
          <w:szCs w:val="18"/>
          <w:color w:val="auto"/>
        </w:rPr>
        <w:t>During the quarter, SAIC was awarded a five-year (one year base, plus four, one-year option periods), $444 million</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contract to support Digital Transformation, Acquisition, Modernization and Modification (DTAMM) for the U.S. Space Force's Space Systems Command and Space Launch Deltas (SLDs) 30 and 45. SAIC will support the modernization of the space launch range instrumentation. The</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efforts will support an accelerated national launch cadence across the Eastern Range (ER) and Western Range (WR) including Cape Canaveral Space Force Station and Patrick Space Force Base in Florida and Vandenberg Space Force Base in California. Experts from SAIC and partners will collaborate to modernize antiquated instrumentation and processes to enable a faster and more integrated launch environment. SAIC remains at the forefront of national priorities to explore, secure and influence space by leveraging industry expertise and legacy in this domain. In addition to DTAMM, SAIC's work facilitates future unmanned spacecraft, earth science data-collecting satellites, space-ground systems for military joint all-domain command and control and more.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Non-GAAP measure, see Schedule 6 for information about this measure.</w:t>
      </w:r>
    </w:p>
    <w:p>
      <w:pPr>
        <w:sectPr>
          <w:pgSz w:w="11900" w:h="16838" w:orient="portrait"/>
          <w:cols w:equalWidth="0" w:num="1">
            <w:col w:w="11180"/>
          </w:cols>
          <w:pgMar w:left="320" w:top="998" w:right="399" w:bottom="1440" w:gutter="0" w:footer="0" w:header="0"/>
        </w:sectPr>
      </w:pPr>
    </w:p>
    <w:bookmarkStart w:id="5" w:name="page6"/>
    <w:bookmarkEnd w:id="5"/>
    <w:p>
      <w:pPr>
        <w:ind w:right="20"/>
        <w:spacing w:after="0" w:line="244" w:lineRule="auto"/>
        <w:rPr>
          <w:sz w:val="20"/>
          <w:szCs w:val="20"/>
          <w:color w:val="auto"/>
        </w:rPr>
      </w:pPr>
      <w:r>
        <w:rPr>
          <w:rFonts w:ascii="Arial" w:cs="Arial" w:eastAsia="Arial" w:hAnsi="Arial"/>
          <w:sz w:val="18"/>
          <w:szCs w:val="18"/>
          <w:b w:val="1"/>
          <w:bCs w:val="1"/>
          <w:color w:val="auto"/>
        </w:rPr>
        <w:t xml:space="preserve">Office of the Under Secretary of Defense for Research and Engineering: </w:t>
      </w:r>
      <w:r>
        <w:rPr>
          <w:rFonts w:ascii="Arial" w:cs="Arial" w:eastAsia="Arial" w:hAnsi="Arial"/>
          <w:sz w:val="18"/>
          <w:szCs w:val="18"/>
          <w:color w:val="auto"/>
        </w:rPr>
        <w:t>During the quarter, SAIC was awarded a five-year (one year</w:t>
      </w:r>
      <w:r>
        <w:rPr>
          <w:rFonts w:ascii="Arial" w:cs="Arial" w:eastAsia="Arial" w:hAnsi="Arial"/>
          <w:sz w:val="18"/>
          <w:szCs w:val="18"/>
          <w:b w:val="1"/>
          <w:bCs w:val="1"/>
          <w:color w:val="auto"/>
        </w:rPr>
        <w:t xml:space="preserve"> </w:t>
      </w:r>
      <w:r>
        <w:rPr>
          <w:rFonts w:ascii="Arial" w:cs="Arial" w:eastAsia="Arial" w:hAnsi="Arial"/>
          <w:sz w:val="18"/>
          <w:szCs w:val="18"/>
          <w:color w:val="auto"/>
        </w:rPr>
        <w:t>base, plus four, one-year option periods), approximately $90 million contract by the Office of the Under Secretary of Defense for Research and Engineering (OUSD(R&amp;E)) to modernize business operations. Through this contract, SAIC will partner with OUSD(R&amp;E) to modernize its policies and procedures through SAIC's data management, knowledge management and strategic planning capabilities. Enhancements will include an increase in data reuse and the reduction of internal organizational operational delivery times.</w:t>
      </w:r>
    </w:p>
    <w:p>
      <w:pPr>
        <w:spacing w:after="0" w:line="13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U.S. Navy: </w:t>
      </w:r>
      <w:r>
        <w:rPr>
          <w:rFonts w:ascii="Arial" w:cs="Arial" w:eastAsia="Arial" w:hAnsi="Arial"/>
          <w:sz w:val="18"/>
          <w:szCs w:val="18"/>
          <w:color w:val="auto"/>
        </w:rPr>
        <w:t>During the quarter, SAIC was awarded a five-year (one year base, plus four, one-year option periods), $92 million contract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professional support services in the areas of sustainment, engineering, test and evaluation, logistics, research and development, and ancillary facilities in direct support of Underseas Sensors Branches at the Naval Surface Warfare Center and Crane Division.</w:t>
      </w:r>
    </w:p>
    <w:p>
      <w:pPr>
        <w:spacing w:after="0" w:line="12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color w:val="auto"/>
        </w:rPr>
        <w:t xml:space="preserve">Special Operations Command: </w:t>
      </w:r>
      <w:r>
        <w:rPr>
          <w:rFonts w:ascii="Arial" w:cs="Arial" w:eastAsia="Arial" w:hAnsi="Arial"/>
          <w:sz w:val="18"/>
          <w:szCs w:val="18"/>
          <w:color w:val="auto"/>
        </w:rPr>
        <w:t>During the quarter, SAIC was awarded a significant modernization role on the recently awarded $2.8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SOCOM SITEC 3 EOM contract as part of Peraton's winning team. SAIC will support the SOCOM mission by contributing to the modernization and sustainment of the IT, networks and infrastructure to support their 80,000 users. SAIC will provide enterprise-wide IT services and the SOF Information Environment to support the SOF global battle space. The contract will impact core services for users in more than 80 countries.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Notable Recompete Awards:</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National Aeronautics and Space Administration (NASA): </w:t>
      </w:r>
      <w:r>
        <w:rPr>
          <w:rFonts w:ascii="Arial" w:cs="Arial" w:eastAsia="Arial" w:hAnsi="Arial"/>
          <w:sz w:val="18"/>
          <w:szCs w:val="18"/>
          <w:color w:val="auto"/>
        </w:rPr>
        <w:t>During the quarter, SAIC was awarded a $494 million seven year (one year</w:t>
      </w:r>
      <w:r>
        <w:rPr>
          <w:rFonts w:ascii="Arial" w:cs="Arial" w:eastAsia="Arial" w:hAnsi="Arial"/>
          <w:sz w:val="18"/>
          <w:szCs w:val="18"/>
          <w:b w:val="1"/>
          <w:bCs w:val="1"/>
          <w:color w:val="auto"/>
        </w:rPr>
        <w:t xml:space="preserve"> </w:t>
      </w:r>
      <w:r>
        <w:rPr>
          <w:rFonts w:ascii="Arial" w:cs="Arial" w:eastAsia="Arial" w:hAnsi="Arial"/>
          <w:sz w:val="18"/>
          <w:szCs w:val="18"/>
          <w:color w:val="auto"/>
        </w:rPr>
        <w:t>base, plus six, one-year option periods) single-award indefinite delivery, indefinite quantity (IDIQ) recompete contract by NASA to enable safe and reliable exploration of space through the Safety and Mission Assurance Engineering Contract III (SMAEC) program. Performing work at the Johnson Space Center in Houston, Texas and the White Sands Test Facility, N.M., SAIC will work on next-gen space missions like Orion, the lunar Gateway, the International Space Station and human space flight. Consistent with the Company’s policy, the Company included $350 million of the IDIQ ceiling in bookings and backlog which represents its current estimate of expected delivery on the contract.</w:t>
      </w:r>
    </w:p>
    <w:p>
      <w:pPr>
        <w:spacing w:after="0" w:line="13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color w:val="auto"/>
        </w:rPr>
        <w:t xml:space="preserve">U.S. Navy: </w:t>
      </w:r>
      <w:r>
        <w:rPr>
          <w:rFonts w:ascii="Arial" w:cs="Arial" w:eastAsia="Arial" w:hAnsi="Arial"/>
          <w:sz w:val="17"/>
          <w:szCs w:val="17"/>
          <w:color w:val="auto"/>
        </w:rPr>
        <w:t>During the quarter, SAIC was awarded a six-year (one year base, plus five, one-year option periods), approximately $120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recompete to support the Navy's afloat and ashore wargaming and fleet readiness. This effort will support the Tactical Training Group Pacific (TTGP), Expeditionary Warfare Training Group Pacific (EWTGPAC), Carrier Strike Group 15 (CSG-15), and Commander, Naval Air Forces Pacific (CNAP) through professional technical services providing FST and LVC wargame development and execution, as well as SME classroom instruction in warfighting doctrine and TTPs utilizing government furnished training systems and facilities, both afloat and shore.</w:t>
      </w:r>
    </w:p>
    <w:p>
      <w:pPr>
        <w:spacing w:after="0" w:line="12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 xml:space="preserve">U.S. Space and Intelligence Community: </w:t>
      </w:r>
      <w:r>
        <w:rPr>
          <w:rFonts w:ascii="Arial" w:cs="Arial" w:eastAsia="Arial" w:hAnsi="Arial"/>
          <w:sz w:val="18"/>
          <w:szCs w:val="18"/>
          <w:color w:val="auto"/>
        </w:rPr>
        <w:t>During the quarter, SAIC was awarded approximately $ 706 million of contract awards by space</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intelligence community organizations. These awards represent a combination of new business and recompetes.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Notable News: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SAIC launched a multi-year growth strategy at 2024 Investor Day and met with key analysts and shareholders to share the company’s new vision for strategic growth to increase its value for customers and stakeholders. SAIC has committed to growing the company through a phased approach that focuses on building the company's portfolio and go-to-market approach, enhancing the brand and further developing a winning culture.</w:t>
      </w:r>
    </w:p>
    <w:p>
      <w:pPr>
        <w:spacing w:after="0" w:line="68"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SAIC appointed Srinivas “Srini” Attili as executive vice president, Civilian Business Group, effective May 6, 2024. In this role, Mr. Attili will report to Chief Executive Officer Toni Townes-Whitley and will further extend SAIC’s position as a leader across Civilian markets through innovation and revenue growth.</w:t>
      </w:r>
    </w:p>
    <w:p>
      <w:pPr>
        <w:spacing w:after="0" w:line="63"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SAIC was recognized as a Leader in the IDC MarketScape: U.S. National Government Professional Security Services 2024 Vendor Assessment. The report highlights the evolving challenges in cybersecurity due to emerging technologies, expanding attack surfaces and a significant shortage of skilled cybersecurity professionals. SAIC's Trust Resilience</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cybersecurity solution provides the most advanced commercial technology to address security gaps and deliver cybersecurity across any enterprise. It aligns to all major zero trust governance models, reduces cyber risks, prevents system disruptions and guards against data loss.</w:t>
      </w:r>
    </w:p>
    <w:p>
      <w:pPr>
        <w:sectPr>
          <w:pgSz w:w="11900" w:h="16838" w:orient="portrait"/>
          <w:cols w:equalWidth="0" w:num="1">
            <w:col w:w="11240"/>
          </w:cols>
          <w:pgMar w:left="320" w:top="105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Fiscal Year 2025 Guidance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Management reaffirms fiscal year 2025 guidance which represents the Company's views as of June 3, 2024.</w:t>
      </w:r>
    </w:p>
    <w:p>
      <w:pPr>
        <w:spacing w:after="0" w:line="224" w:lineRule="exact"/>
        <w:rPr>
          <w:sz w:val="20"/>
          <w:szCs w:val="20"/>
          <w:color w:val="auto"/>
        </w:rPr>
      </w:pPr>
    </w:p>
    <w:tbl>
      <w:tblPr>
        <w:tblLayout w:type="fixed"/>
        <w:tblInd w:w="2790" w:type="dxa"/>
        <w:tblCellMar>
          <w:top w:w="0" w:type="dxa"/>
          <w:left w:w="0" w:type="dxa"/>
          <w:bottom w:w="0" w:type="dxa"/>
          <w:right w:w="0" w:type="dxa"/>
        </w:tblCellMar>
      </w:tblPr>
      <w:tr>
        <w:trPr>
          <w:trHeight w:val="238"/>
        </w:trPr>
        <w:tc>
          <w:tcPr>
            <w:tcW w:w="3740" w:type="dxa"/>
            <w:vAlign w:val="bottom"/>
            <w:tcBorders>
              <w:right w:val="single" w:sz="8" w:color="auto"/>
            </w:tcBorders>
          </w:tcPr>
          <w:p>
            <w:pPr>
              <w:spacing w:after="0"/>
              <w:rPr>
                <w:sz w:val="20"/>
                <w:szCs w:val="20"/>
                <w:color w:val="auto"/>
              </w:rPr>
            </w:pPr>
          </w:p>
        </w:tc>
        <w:tc>
          <w:tcPr>
            <w:tcW w:w="19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Fiscal Year</w:t>
            </w:r>
          </w:p>
        </w:tc>
      </w:tr>
      <w:tr>
        <w:trPr>
          <w:trHeight w:val="235"/>
        </w:trPr>
        <w:tc>
          <w:tcPr>
            <w:tcW w:w="374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2025 Guidance</w:t>
            </w:r>
          </w:p>
        </w:tc>
      </w:tr>
      <w:tr>
        <w:trPr>
          <w:trHeight w:val="215"/>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$7.35B</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$7.50B</w:t>
            </w:r>
          </w:p>
        </w:tc>
      </w:tr>
      <w:tr>
        <w:trPr>
          <w:trHeight w:val="230"/>
        </w:trPr>
        <w:tc>
          <w:tcPr>
            <w:tcW w:w="3740" w:type="dxa"/>
            <w:vAlign w:val="bottom"/>
            <w:tcBorders>
              <w:left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96"/>
              </w:rPr>
              <w:t>Adjusted EBITDA</w:t>
            </w:r>
            <w:r>
              <w:rPr>
                <w:rFonts w:ascii="Arial" w:cs="Arial" w:eastAsia="Arial" w:hAnsi="Arial"/>
                <w:sz w:val="23"/>
                <w:szCs w:val="23"/>
                <w:color w:val="auto"/>
                <w:w w:val="96"/>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$680M</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$700M</w:t>
            </w:r>
          </w:p>
        </w:tc>
      </w:tr>
      <w:tr>
        <w:trPr>
          <w:trHeight w:val="229"/>
        </w:trPr>
        <w:tc>
          <w:tcPr>
            <w:tcW w:w="3740" w:type="dxa"/>
            <w:vAlign w:val="bottom"/>
            <w:tcBorders>
              <w:left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97"/>
              </w:rPr>
              <w:t>Adjusted EBITDA Margin</w:t>
            </w:r>
            <w:r>
              <w:rPr>
                <w:rFonts w:ascii="Arial" w:cs="Arial" w:eastAsia="Arial" w:hAnsi="Arial"/>
                <w:sz w:val="23"/>
                <w:szCs w:val="23"/>
                <w:color w:val="auto"/>
                <w:w w:val="97"/>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- 9.4%</w:t>
            </w:r>
          </w:p>
        </w:tc>
      </w:tr>
      <w:tr>
        <w:trPr>
          <w:trHeight w:val="230"/>
        </w:trPr>
        <w:tc>
          <w:tcPr>
            <w:tcW w:w="3740" w:type="dxa"/>
            <w:vAlign w:val="bottom"/>
            <w:tcBorders>
              <w:left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97"/>
              </w:rPr>
              <w:t>Adjusted Diluted EPS</w:t>
            </w:r>
            <w:r>
              <w:rPr>
                <w:rFonts w:ascii="Arial" w:cs="Arial" w:eastAsia="Arial" w:hAnsi="Arial"/>
                <w:sz w:val="23"/>
                <w:szCs w:val="23"/>
                <w:color w:val="auto"/>
                <w:w w:val="97"/>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$8.00</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$8.20</w:t>
            </w:r>
          </w:p>
        </w:tc>
      </w:tr>
      <w:tr>
        <w:trPr>
          <w:trHeight w:val="237"/>
        </w:trPr>
        <w:tc>
          <w:tcPr>
            <w:tcW w:w="374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18"/>
                <w:szCs w:val="18"/>
                <w:color w:val="auto"/>
                <w:w w:val="97"/>
              </w:rPr>
              <w:t>Free Cash Flow</w:t>
            </w:r>
            <w:r>
              <w:rPr>
                <w:rFonts w:ascii="Arial" w:cs="Arial" w:eastAsia="Arial" w:hAnsi="Arial"/>
                <w:sz w:val="23"/>
                <w:szCs w:val="23"/>
                <w:color w:val="auto"/>
                <w:w w:val="97"/>
                <w:vertAlign w:val="superscript"/>
              </w:rPr>
              <w:t>(1)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$490M</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$510M</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Information</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SAIC management will discuss operations and financial results in an earnings conference call beginning at 10:00 a.m. Eastern time on June 3, 2024. The conference call will be webcast simultaneously to the public through a link on the Investor Relations section of the SAIC website (</w:t>
      </w:r>
      <w:r>
        <w:rPr>
          <w:rFonts w:ascii="Arial" w:cs="Arial" w:eastAsia="Arial" w:hAnsi="Arial"/>
          <w:sz w:val="18"/>
          <w:szCs w:val="18"/>
          <w:u w:val="single" w:color="auto"/>
          <w:color w:val="auto"/>
        </w:rPr>
        <w:t>http://investors.saic.com</w:t>
      </w:r>
      <w:r>
        <w:rPr>
          <w:rFonts w:ascii="Arial" w:cs="Arial" w:eastAsia="Arial" w:hAnsi="Arial"/>
          <w:sz w:val="18"/>
          <w:szCs w:val="18"/>
          <w:color w:val="auto"/>
        </w:rPr>
        <w:t>). We will be providing webcast access only – “dial-in” access is no longer available. Additionally, a supplemental presentation will be available to the public through links to the Investor Relations section of the SAIC website. After the call concludes, an on-demand audio replay of the webcast can be accessed on the Investor Relations website.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SAIC</w:t>
      </w:r>
    </w:p>
    <w:p>
      <w:pPr>
        <w:spacing w:after="0" w:line="18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SAIC® is a premier Fortune 500® technology integrator focused on advancing the power of technology and innovation to serve and protect our world. Our robust portfolio of offerings across the defense, space, civilian and intelligence markets includes secure high-end solutions in mission IT, enterprise IT, engineering services and professional services. We integrate emerging technology, rapidly and securely, into mission critical operations that modernize and enable critical national imperatives.</w:t>
      </w:r>
    </w:p>
    <w:p>
      <w:pPr>
        <w:spacing w:after="0" w:line="14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approximately 24,000 strong; driven by mission, united by purpose, and inspired by opportunities. SAIC is an Equal Opportunity Employer, fostering a culture of diversity, equity and inclusion, which is core to our values and important to attract and retain exceptional talent. Headquartered in Reston, Virginia, SAIC has annual revenues of approximately $7.4 billion. For more information, visit saic.com. For ongoing news, please visit our newsroom.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Joe DeNardi, +1.703.488.8528, joseph.w.denardi@saic.com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Media: Thais Hanson, +1.703.676.8215, publicrelations@saic.com</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GAAP to Non-GAAP Guidance Reconciliation</w:t>
      </w:r>
    </w:p>
    <w:p>
      <w:pPr>
        <w:spacing w:after="0" w:line="194"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The Company does not provide a reconciliation of forward-looking adjusted diluted EPS to GAAP diluted EPS, adjusted EBITDA margin to GAAP net income or transaction-adjusted free cash flow and free cash flow to GAAP net cash flows from operating activities due to the inherent difficulty in forecasting and quantifying certain amounts that are necessary for such reconciliation. Because certain deductions for non-GAAP exclusions used to calculate net income and cash flows from operating activities may vary significantly based on actual events, the Company is not able to forecast GAAP diluted EPS, GAAP net income or GAAP net cash flows from operating activities with reasonable certainty. The variability of the above charges may have an unpredictable and potentially significant impact on our future GAAP financial results.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Non-GAAP measure, see Schedule 6 for information about this measure.</w:t>
      </w:r>
    </w:p>
    <w:p>
      <w:pPr>
        <w:sectPr>
          <w:pgSz w:w="11900" w:h="16838" w:orient="portrait"/>
          <w:cols w:equalWidth="0" w:num="1">
            <w:col w:w="11220"/>
          </w:cols>
          <w:pgMar w:left="320" w:top="998"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u w:val="single" w:color="auto"/>
          <w:color w:val="auto"/>
        </w:rPr>
        <w:t>Forward-Looking Statements</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 xml:space="preserve">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estimates of future revenues, operating income, earnings, earnings per share, charges, total contract value, backlog, outstanding shares and cash flows, as well as statements about future dividends, share repurchases and other capital deployment plans.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 which may be viewed or obtained through the Investor Relations section of our website at </w:t>
      </w:r>
      <w:r>
        <w:rPr>
          <w:rFonts w:ascii="Arial" w:cs="Arial" w:eastAsia="Arial" w:hAnsi="Arial"/>
          <w:sz w:val="16"/>
          <w:szCs w:val="16"/>
          <w:i w:val="1"/>
          <w:iCs w:val="1"/>
          <w:u w:val="single" w:color="auto"/>
          <w:color w:val="auto"/>
        </w:rPr>
        <w:t>www.saic.com</w:t>
      </w:r>
      <w:r>
        <w:rPr>
          <w:rFonts w:ascii="Arial" w:cs="Arial" w:eastAsia="Arial" w:hAnsi="Arial"/>
          <w:sz w:val="16"/>
          <w:szCs w:val="16"/>
          <w:i w:val="1"/>
          <w:iCs w:val="1"/>
          <w:color w:val="auto"/>
        </w:rPr>
        <w:t xml:space="preserve"> or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p>
      <w:pPr>
        <w:sectPr>
          <w:pgSz w:w="11900" w:h="16838" w:orient="portrait"/>
          <w:cols w:equalWidth="0" w:num="1">
            <w:col w:w="11180"/>
          </w:cols>
          <w:pgMar w:left="320" w:top="1005"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7"/>
                <w:szCs w:val="17"/>
                <w:color w:val="auto"/>
              </w:rPr>
            </w:pPr>
          </w:p>
        </w:tc>
      </w:tr>
      <w:tr>
        <w:trPr>
          <w:trHeight w:val="143"/>
        </w:trPr>
        <w:tc>
          <w:tcPr>
            <w:tcW w:w="8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May 3,</w:t>
            </w:r>
          </w:p>
        </w:tc>
        <w:tc>
          <w:tcPr>
            <w:tcW w:w="72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rPr>
              <w:t>May 5,</w:t>
            </w:r>
          </w:p>
        </w:tc>
      </w:tr>
      <w:tr>
        <w:trPr>
          <w:trHeight w:val="189"/>
        </w:trPr>
        <w:tc>
          <w:tcPr>
            <w:tcW w:w="8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r>
      <w:tr>
        <w:trPr>
          <w:trHeight w:val="192"/>
        </w:trPr>
        <w:tc>
          <w:tcPr>
            <w:tcW w:w="870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4"/>
                <w:szCs w:val="14"/>
                <w:color w:val="auto"/>
              </w:rPr>
              <w:t>(in millions, except per share amounts)</w:t>
            </w:r>
          </w:p>
        </w:tc>
      </w:tr>
      <w:tr>
        <w:trPr>
          <w:trHeight w:val="23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1,847</w:t>
            </w:r>
          </w:p>
        </w:tc>
        <w:tc>
          <w:tcPr>
            <w:tcW w:w="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2,028</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b w:val="1"/>
                <w:bCs w:val="1"/>
                <w:color w:val="auto"/>
              </w:rPr>
              <w:t>1,634</w:t>
            </w: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1,793</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85</w:t>
            </w: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(Gain) loss on divestitures, net of transaction costs</w:t>
            </w:r>
          </w:p>
        </w:tc>
        <w:tc>
          <w:tcPr>
            <w:tcW w:w="32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operating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b w:val="1"/>
                <w:bCs w:val="1"/>
                <w:color w:val="auto"/>
              </w:rPr>
              <w:t>131</w:t>
            </w: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34</w:t>
            </w: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w:t>
            </w: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95</w:t>
            </w: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8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77</w:t>
            </w:r>
          </w:p>
        </w:tc>
        <w:tc>
          <w:tcPr>
            <w:tcW w:w="7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8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700" w:type="dxa"/>
            <w:vAlign w:val="bottom"/>
          </w:tcPr>
          <w:p>
            <w:pPr>
              <w:ind w:left="20"/>
              <w:spacing w:after="0" w:line="198" w:lineRule="exact"/>
              <w:rPr>
                <w:sz w:val="20"/>
                <w:szCs w:val="20"/>
                <w:color w:val="auto"/>
              </w:rPr>
            </w:pPr>
            <w:r>
              <w:rPr>
                <w:rFonts w:ascii="Arial" w:cs="Arial" w:eastAsia="Arial" w:hAnsi="Arial"/>
                <w:sz w:val="18"/>
                <w:szCs w:val="18"/>
                <w:color w:val="auto"/>
              </w:rPr>
              <w:t>Weighted-average number of shares outstanding:</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5"/>
        </w:trPr>
        <w:tc>
          <w:tcPr>
            <w:tcW w:w="8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51.6</w:t>
            </w:r>
          </w:p>
        </w:tc>
        <w:tc>
          <w:tcPr>
            <w:tcW w:w="7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23"/>
        </w:trPr>
        <w:tc>
          <w:tcPr>
            <w:tcW w:w="8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52.1</w:t>
            </w: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18"/>
        </w:trPr>
        <w:tc>
          <w:tcPr>
            <w:tcW w:w="87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5"/>
        </w:trPr>
        <w:tc>
          <w:tcPr>
            <w:tcW w:w="8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1.49</w:t>
            </w:r>
          </w:p>
        </w:tc>
        <w:tc>
          <w:tcPr>
            <w:tcW w:w="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8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1.48</w:t>
            </w:r>
          </w:p>
        </w:tc>
        <w:tc>
          <w:tcPr>
            <w:tcW w:w="7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bl>
    <w:p>
      <w:pPr>
        <w:sectPr>
          <w:pgSz w:w="11900" w:h="16838" w:orient="portrait"/>
          <w:cols w:equalWidth="0" w:num="1">
            <w:col w:w="11220"/>
          </w:cols>
          <w:pgMar w:left="320" w:top="890"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May 3,</w:t>
            </w: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February 2, 2024</w:t>
            </w:r>
          </w:p>
        </w:tc>
        <w:tc>
          <w:tcPr>
            <w:tcW w:w="0" w:type="dxa"/>
            <w:vAlign w:val="bottom"/>
          </w:tcPr>
          <w:p>
            <w:pPr>
              <w:spacing w:after="0"/>
              <w:rPr>
                <w:sz w:val="1"/>
                <w:szCs w:val="1"/>
                <w:color w:val="auto"/>
              </w:rPr>
            </w:pPr>
          </w:p>
        </w:tc>
      </w:tr>
      <w:tr>
        <w:trPr>
          <w:trHeight w:val="189"/>
        </w:trPr>
        <w:tc>
          <w:tcPr>
            <w:tcW w:w="8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1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49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934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108</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1,091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2,851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5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93</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148</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5,250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1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LIABILITIES AND EQUITY</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1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648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payroll and employee benefits</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287</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5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129</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Long-term debt, current portion</w:t>
            </w: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90</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5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1,154</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1,993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5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136</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5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179</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1,759</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5,250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1"/>
        </w:trPr>
        <w:tc>
          <w:tcPr>
            <w:tcW w:w="8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90" w:right="35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b w:val="1"/>
          <w:bCs w:val="1"/>
          <w:color w:val="auto"/>
        </w:rPr>
        <w:t>Schedule 3:</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7"/>
                <w:szCs w:val="17"/>
                <w:color w:val="auto"/>
              </w:rPr>
            </w:pPr>
          </w:p>
        </w:tc>
      </w:tr>
      <w:tr>
        <w:trPr>
          <w:trHeight w:val="147"/>
        </w:trPr>
        <w:tc>
          <w:tcPr>
            <w:tcW w:w="8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May 3,</w:t>
            </w:r>
          </w:p>
        </w:tc>
        <w:tc>
          <w:tcPr>
            <w:tcW w:w="7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May 5,</w:t>
            </w:r>
          </w:p>
        </w:tc>
      </w:tr>
      <w:tr>
        <w:trPr>
          <w:trHeight w:val="185"/>
        </w:trPr>
        <w:tc>
          <w:tcPr>
            <w:tcW w:w="8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r>
      <w:tr>
        <w:trPr>
          <w:trHeight w:val="215"/>
        </w:trPr>
        <w:tc>
          <w:tcPr>
            <w:tcW w:w="8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1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8"/>
                <w:szCs w:val="18"/>
                <w:color w:val="auto"/>
              </w:rPr>
            </w:pPr>
          </w:p>
        </w:tc>
      </w:tr>
      <w:tr>
        <w:trPr>
          <w:trHeight w:val="238"/>
        </w:trPr>
        <w:tc>
          <w:tcPr>
            <w:tcW w:w="86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30"/>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77</w:t>
            </w:r>
          </w:p>
        </w:tc>
        <w:tc>
          <w:tcPr>
            <w:tcW w:w="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4"/>
        </w:trPr>
        <w:tc>
          <w:tcPr>
            <w:tcW w:w="866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5"/>
        </w:trPr>
        <w:tc>
          <w:tcPr>
            <w:tcW w:w="86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35</w:t>
            </w:r>
          </w:p>
        </w:tc>
        <w:tc>
          <w:tcPr>
            <w:tcW w:w="7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66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13</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loss on divestitures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660" w:type="dxa"/>
            <w:vAlign w:val="bottom"/>
          </w:tcPr>
          <w:p>
            <w:pPr>
              <w:ind w:left="4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76"/>
        </w:trPr>
        <w:tc>
          <w:tcPr>
            <w:tcW w:w="8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Increase (decrease) resulting from changes in operating assets and liabilities, net of the effect of</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39"/>
        </w:trPr>
        <w:tc>
          <w:tcPr>
            <w:tcW w:w="8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divestitures:</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34"/>
        </w:trPr>
        <w:tc>
          <w:tcPr>
            <w:tcW w:w="8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Receivables</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8660" w:type="dxa"/>
            <w:vAlign w:val="bottom"/>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15</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660" w:type="dxa"/>
            <w:vAlign w:val="bottom"/>
          </w:tcPr>
          <w:p>
            <w:pPr>
              <w:ind w:left="46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60</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8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payroll and employee benefits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660" w:type="dxa"/>
            <w:vAlign w:val="bottom"/>
          </w:tcPr>
          <w:p>
            <w:pPr>
              <w:ind w:left="460"/>
              <w:spacing w:after="0"/>
              <w:rPr>
                <w:sz w:val="20"/>
                <w:szCs w:val="20"/>
                <w:color w:val="auto"/>
              </w:rPr>
            </w:pPr>
            <w:r>
              <w:rPr>
                <w:rFonts w:ascii="Arial" w:cs="Arial" w:eastAsia="Arial" w:hAnsi="Arial"/>
                <w:sz w:val="18"/>
                <w:szCs w:val="18"/>
                <w:color w:val="auto"/>
              </w:rPr>
              <w:t>Operating lease assets and liabilities, net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w:t>
            </w:r>
          </w:p>
        </w:tc>
        <w:tc>
          <w:tcPr>
            <w:tcW w:w="7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6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98</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Expenditures for property, plant, and equipment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66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of marketable securities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660" w:type="dxa"/>
            <w:vAlign w:val="bottom"/>
          </w:tcPr>
          <w:p>
            <w:pPr>
              <w:ind w:left="220"/>
              <w:spacing w:after="0"/>
              <w:rPr>
                <w:sz w:val="20"/>
                <w:szCs w:val="20"/>
                <w:color w:val="auto"/>
              </w:rPr>
            </w:pPr>
            <w:r>
              <w:rPr>
                <w:rFonts w:ascii="Arial" w:cs="Arial" w:eastAsia="Arial" w:hAnsi="Arial"/>
                <w:sz w:val="18"/>
                <w:szCs w:val="18"/>
                <w:color w:val="auto"/>
              </w:rPr>
              <w:t>Proceeds from assets held for sale</w:t>
            </w:r>
          </w:p>
        </w:tc>
        <w:tc>
          <w:tcPr>
            <w:tcW w:w="3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divested upon deconsolidation of joint venture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4"/>
        </w:trPr>
        <w:tc>
          <w:tcPr>
            <w:tcW w:w="86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5"/>
        </w:trPr>
        <w:tc>
          <w:tcPr>
            <w:tcW w:w="8660" w:type="dxa"/>
            <w:vAlign w:val="bottom"/>
          </w:tcPr>
          <w:p>
            <w:pPr>
              <w:ind w:left="220"/>
              <w:spacing w:after="0"/>
              <w:rPr>
                <w:sz w:val="20"/>
                <w:szCs w:val="20"/>
                <w:color w:val="auto"/>
              </w:rPr>
            </w:pPr>
            <w:r>
              <w:rPr>
                <w:rFonts w:ascii="Arial" w:cs="Arial" w:eastAsia="Arial" w:hAnsi="Arial"/>
                <w:sz w:val="18"/>
                <w:szCs w:val="18"/>
                <w:color w:val="auto"/>
              </w:rPr>
              <w:t>Dividend payments to stockholders</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7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borrowings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8660" w:type="dxa"/>
            <w:vAlign w:val="bottom"/>
          </w:tcPr>
          <w:p>
            <w:pPr>
              <w:ind w:left="220"/>
              <w:spacing w:after="0"/>
              <w:rPr>
                <w:sz w:val="20"/>
                <w:szCs w:val="20"/>
                <w:color w:val="auto"/>
              </w:rPr>
            </w:pPr>
            <w:r>
              <w:rPr>
                <w:rFonts w:ascii="Arial" w:cs="Arial" w:eastAsia="Arial" w:hAnsi="Arial"/>
                <w:sz w:val="18"/>
                <w:szCs w:val="18"/>
                <w:color w:val="auto"/>
              </w:rPr>
              <w:t>Issuances of stock</w:t>
            </w:r>
          </w:p>
        </w:tc>
        <w:tc>
          <w:tcPr>
            <w:tcW w:w="3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4</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repurchased and retired or withheld for taxes on equity awards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Proceeds from borrowings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293</w:t>
            </w: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8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7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r>
      <w:tr>
        <w:trPr>
          <w:trHeight w:val="223"/>
        </w:trPr>
        <w:tc>
          <w:tcPr>
            <w:tcW w:w="866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0"/>
        </w:trPr>
        <w:tc>
          <w:tcPr>
            <w:tcW w:w="8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103</w:t>
            </w:r>
          </w:p>
        </w:tc>
        <w:tc>
          <w:tcPr>
            <w:tcW w:w="7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58</w:t>
            </w:r>
          </w:p>
        </w:tc>
        <w:tc>
          <w:tcPr>
            <w:tcW w:w="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260" w:top="890"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SEGMENT OPERATING RESULTS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84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7"/>
                <w:szCs w:val="17"/>
                <w:color w:val="auto"/>
              </w:rPr>
            </w:pPr>
          </w:p>
        </w:tc>
      </w:tr>
      <w:tr>
        <w:trPr>
          <w:trHeight w:val="147"/>
        </w:trPr>
        <w:tc>
          <w:tcPr>
            <w:tcW w:w="8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May 3,</w:t>
            </w:r>
          </w:p>
        </w:tc>
        <w:tc>
          <w:tcPr>
            <w:tcW w:w="7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May 5,</w:t>
            </w:r>
          </w:p>
        </w:tc>
      </w:tr>
      <w:tr>
        <w:trPr>
          <w:trHeight w:val="185"/>
        </w:trPr>
        <w:tc>
          <w:tcPr>
            <w:tcW w:w="8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r>
      <w:tr>
        <w:trPr>
          <w:trHeight w:val="192"/>
        </w:trPr>
        <w:tc>
          <w:tcPr>
            <w:tcW w:w="8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2"/>
          </w:tcPr>
          <w:p>
            <w:pPr>
              <w:jc w:val="right"/>
              <w:ind w:right="250"/>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6"/>
                <w:szCs w:val="16"/>
                <w:color w:val="auto"/>
              </w:rPr>
            </w:pPr>
          </w:p>
        </w:tc>
      </w:tr>
      <w:tr>
        <w:trPr>
          <w:trHeight w:val="233"/>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Defense and Intelligence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215"/>
              <w:spacing w:after="0"/>
              <w:rPr>
                <w:sz w:val="20"/>
                <w:szCs w:val="20"/>
                <w:color w:val="auto"/>
              </w:rPr>
            </w:pPr>
            <w:r>
              <w:rPr>
                <w:rFonts w:ascii="Arial" w:cs="Arial" w:eastAsia="Arial" w:hAnsi="Arial"/>
                <w:sz w:val="18"/>
                <w:szCs w:val="18"/>
                <w:b w:val="1"/>
                <w:bCs w:val="1"/>
                <w:color w:val="auto"/>
              </w:rPr>
              <w:t>1,436</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3"/>
              <w:spacing w:after="0"/>
              <w:rPr>
                <w:sz w:val="20"/>
                <w:szCs w:val="20"/>
                <w:color w:val="auto"/>
              </w:rPr>
            </w:pPr>
            <w:r>
              <w:rPr>
                <w:rFonts w:ascii="Arial" w:cs="Arial" w:eastAsia="Arial" w:hAnsi="Arial"/>
                <w:sz w:val="18"/>
                <w:szCs w:val="18"/>
                <w:color w:val="auto"/>
                <w:w w:val="97"/>
              </w:rPr>
              <w:t>1,597</w:t>
            </w:r>
          </w:p>
        </w:tc>
      </w:tr>
      <w:tr>
        <w:trPr>
          <w:trHeight w:val="230"/>
        </w:trPr>
        <w:tc>
          <w:tcPr>
            <w:tcW w:w="84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Civilian</w:t>
            </w:r>
          </w:p>
        </w:tc>
        <w:tc>
          <w:tcPr>
            <w:tcW w:w="3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215"/>
              <w:spacing w:after="0"/>
              <w:rPr>
                <w:sz w:val="20"/>
                <w:szCs w:val="20"/>
                <w:color w:val="auto"/>
              </w:rPr>
            </w:pPr>
            <w:r>
              <w:rPr>
                <w:rFonts w:ascii="Arial" w:cs="Arial" w:eastAsia="Arial" w:hAnsi="Arial"/>
                <w:sz w:val="18"/>
                <w:szCs w:val="18"/>
                <w:b w:val="1"/>
                <w:bCs w:val="1"/>
                <w:color w:val="auto"/>
              </w:rPr>
              <w:t>411</w:t>
            </w:r>
          </w:p>
        </w:tc>
        <w:tc>
          <w:tcPr>
            <w:tcW w:w="7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431</w:t>
            </w:r>
          </w:p>
        </w:tc>
      </w:tr>
      <w:tr>
        <w:trPr>
          <w:trHeight w:val="22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1,847</w:t>
            </w:r>
          </w:p>
        </w:tc>
        <w:tc>
          <w:tcPr>
            <w:tcW w:w="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7"/>
              </w:rPr>
              <w:t>2,028</w:t>
            </w: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84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8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Defense and Intelligence</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FF0FC"/>
          </w:tcPr>
          <w:p>
            <w:pPr>
              <w:jc w:val="right"/>
              <w:ind w:right="215"/>
              <w:spacing w:after="0"/>
              <w:rPr>
                <w:sz w:val="20"/>
                <w:szCs w:val="20"/>
                <w:color w:val="auto"/>
              </w:rPr>
            </w:pPr>
            <w:r>
              <w:rPr>
                <w:rFonts w:ascii="Arial" w:cs="Arial" w:eastAsia="Arial" w:hAnsi="Arial"/>
                <w:sz w:val="18"/>
                <w:szCs w:val="18"/>
                <w:b w:val="1"/>
                <w:bCs w:val="1"/>
                <w:color w:val="auto"/>
              </w:rPr>
              <w:t>107</w:t>
            </w:r>
          </w:p>
        </w:tc>
        <w:tc>
          <w:tcPr>
            <w:tcW w:w="70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124</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Civilian</w:t>
            </w:r>
          </w:p>
        </w:tc>
        <w:tc>
          <w:tcPr>
            <w:tcW w:w="380" w:type="dxa"/>
            <w:vAlign w:val="bottom"/>
          </w:tcPr>
          <w:p>
            <w:pPr>
              <w:spacing w:after="0"/>
              <w:rPr>
                <w:sz w:val="19"/>
                <w:szCs w:val="19"/>
                <w:color w:val="auto"/>
              </w:rPr>
            </w:pPr>
          </w:p>
        </w:tc>
        <w:tc>
          <w:tcPr>
            <w:tcW w:w="1020" w:type="dxa"/>
            <w:vAlign w:val="bottom"/>
          </w:tcPr>
          <w:p>
            <w:pPr>
              <w:jc w:val="right"/>
              <w:ind w:right="215"/>
              <w:spacing w:after="0"/>
              <w:rPr>
                <w:sz w:val="20"/>
                <w:szCs w:val="20"/>
                <w:color w:val="auto"/>
              </w:rPr>
            </w:pPr>
            <w:r>
              <w:rPr>
                <w:rFonts w:ascii="Arial" w:cs="Arial" w:eastAsia="Arial" w:hAnsi="Arial"/>
                <w:sz w:val="18"/>
                <w:szCs w:val="18"/>
                <w:b w:val="1"/>
                <w:bCs w:val="1"/>
                <w:color w:val="auto"/>
              </w:rPr>
              <w:t>34</w:t>
            </w:r>
          </w:p>
        </w:tc>
        <w:tc>
          <w:tcPr>
            <w:tcW w:w="70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42</w:t>
            </w:r>
          </w:p>
        </w:tc>
      </w:tr>
      <w:tr>
        <w:trPr>
          <w:trHeight w:val="229"/>
        </w:trPr>
        <w:tc>
          <w:tcPr>
            <w:tcW w:w="84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55"/>
              <w:spacing w:after="0"/>
              <w:rPr>
                <w:sz w:val="20"/>
                <w:szCs w:val="20"/>
                <w:color w:val="auto"/>
              </w:rPr>
            </w:pPr>
            <w:r>
              <w:rPr>
                <w:rFonts w:ascii="Arial" w:cs="Arial" w:eastAsia="Arial" w:hAnsi="Arial"/>
                <w:sz w:val="18"/>
                <w:szCs w:val="18"/>
                <w:b w:val="1"/>
                <w:bCs w:val="1"/>
                <w:color w:val="auto"/>
              </w:rPr>
              <w:t>(10)</w:t>
            </w:r>
          </w:p>
        </w:tc>
        <w:tc>
          <w:tcPr>
            <w:tcW w:w="7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(9)</w:t>
            </w:r>
          </w:p>
        </w:tc>
      </w:tr>
      <w:tr>
        <w:trPr>
          <w:trHeight w:val="22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131</w:t>
            </w:r>
          </w:p>
        </w:tc>
        <w:tc>
          <w:tcPr>
            <w:tcW w:w="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157</w:t>
            </w: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84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Operating income margin</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8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Defense and Intelligence</w:t>
            </w: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7.5 %</w:t>
            </w: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7.8 %</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Civilian</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8.3 %</w:t>
            </w: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income margin</w:t>
            </w: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7.1 %</w:t>
            </w: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7.7 %</w:t>
            </w:r>
          </w:p>
        </w:tc>
      </w:tr>
    </w:tbl>
    <w:p>
      <w:pPr>
        <w:spacing w:after="0" w:line="251"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First Quarter Defense and Intelligence Results</w:t>
      </w:r>
    </w:p>
    <w:p>
      <w:pPr>
        <w:spacing w:after="0" w:line="185" w:lineRule="exact"/>
        <w:rPr>
          <w:sz w:val="20"/>
          <w:szCs w:val="20"/>
          <w:color w:val="auto"/>
        </w:rPr>
      </w:pPr>
    </w:p>
    <w:p>
      <w:pPr>
        <w:jc w:val="both"/>
        <w:ind w:left="100" w:right="80"/>
        <w:spacing w:after="0" w:line="268" w:lineRule="auto"/>
        <w:rPr>
          <w:sz w:val="20"/>
          <w:szCs w:val="20"/>
          <w:color w:val="auto"/>
        </w:rPr>
      </w:pPr>
      <w:r>
        <w:rPr>
          <w:rFonts w:ascii="Arial" w:cs="Arial" w:eastAsia="Arial" w:hAnsi="Arial"/>
          <w:sz w:val="18"/>
          <w:szCs w:val="18"/>
          <w:color w:val="auto"/>
        </w:rPr>
        <w:t>Revenues for the quarter decreased $161 million or 10% compared to the same period in the prior year primarily due the sale of the Supply Chain Business ($188 million) in the prior year, and contract completions. This was partially offset by ramp up in volume on existing and new contracts. Adjusting for the impact of the divestiture, revenues grew 1.9%.</w:t>
      </w:r>
    </w:p>
    <w:p>
      <w:pPr>
        <w:spacing w:after="0" w:line="144" w:lineRule="exact"/>
        <w:rPr>
          <w:sz w:val="20"/>
          <w:szCs w:val="20"/>
          <w:color w:val="auto"/>
        </w:rPr>
      </w:pPr>
    </w:p>
    <w:p>
      <w:pPr>
        <w:ind w:left="100" w:right="180"/>
        <w:spacing w:after="0" w:line="287" w:lineRule="auto"/>
        <w:rPr>
          <w:sz w:val="20"/>
          <w:szCs w:val="20"/>
          <w:color w:val="auto"/>
        </w:rPr>
      </w:pPr>
      <w:r>
        <w:rPr>
          <w:rFonts w:ascii="Arial" w:cs="Arial" w:eastAsia="Arial" w:hAnsi="Arial"/>
          <w:sz w:val="18"/>
          <w:szCs w:val="18"/>
          <w:color w:val="auto"/>
        </w:rPr>
        <w:t>Operating income and adjusted operating income</w:t>
      </w:r>
      <w:r>
        <w:rPr>
          <w:rFonts w:ascii="Arial" w:cs="Arial" w:eastAsia="Arial" w:hAnsi="Arial"/>
          <w:sz w:val="9"/>
          <w:szCs w:val="9"/>
          <w:i w:val="1"/>
          <w:iCs w:val="1"/>
          <w:color w:val="auto"/>
        </w:rPr>
        <w:t>(1)</w:t>
      </w:r>
      <w:r>
        <w:rPr>
          <w:rFonts w:ascii="Arial" w:cs="Arial" w:eastAsia="Arial" w:hAnsi="Arial"/>
          <w:sz w:val="18"/>
          <w:szCs w:val="18"/>
          <w:color w:val="auto"/>
        </w:rPr>
        <w:t xml:space="preserve"> as a percentage of revenues decreased from the comparable prior year period primarily due to the sale of the Supply Chain Business in the prior year.</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First Quarter Civilian Results</w:t>
      </w:r>
    </w:p>
    <w:p>
      <w:pPr>
        <w:spacing w:after="0" w:line="185" w:lineRule="exact"/>
        <w:rPr>
          <w:sz w:val="20"/>
          <w:szCs w:val="20"/>
          <w:color w:val="auto"/>
        </w:rPr>
      </w:pPr>
    </w:p>
    <w:p>
      <w:pPr>
        <w:ind w:left="100" w:right="620"/>
        <w:spacing w:after="0" w:line="287" w:lineRule="auto"/>
        <w:rPr>
          <w:sz w:val="20"/>
          <w:szCs w:val="20"/>
          <w:color w:val="auto"/>
        </w:rPr>
      </w:pPr>
      <w:r>
        <w:rPr>
          <w:rFonts w:ascii="Arial" w:cs="Arial" w:eastAsia="Arial" w:hAnsi="Arial"/>
          <w:sz w:val="18"/>
          <w:szCs w:val="18"/>
          <w:color w:val="auto"/>
        </w:rPr>
        <w:t>Revenues for the quarter decreased $20 million or 5% compared to the same period in the prior year primarily due to reduced volume partially offset by new contracts.</w:t>
      </w:r>
    </w:p>
    <w:p>
      <w:pPr>
        <w:spacing w:after="0" w:line="126" w:lineRule="exact"/>
        <w:rPr>
          <w:sz w:val="20"/>
          <w:szCs w:val="20"/>
          <w:color w:val="auto"/>
        </w:rPr>
      </w:pPr>
    </w:p>
    <w:p>
      <w:pPr>
        <w:ind w:left="100" w:right="180"/>
        <w:spacing w:after="0" w:line="287" w:lineRule="auto"/>
        <w:rPr>
          <w:sz w:val="20"/>
          <w:szCs w:val="20"/>
          <w:color w:val="auto"/>
        </w:rPr>
      </w:pPr>
      <w:r>
        <w:rPr>
          <w:rFonts w:ascii="Arial" w:cs="Arial" w:eastAsia="Arial" w:hAnsi="Arial"/>
          <w:sz w:val="18"/>
          <w:szCs w:val="18"/>
          <w:color w:val="auto"/>
        </w:rPr>
        <w:t>Operating income and adjusted operating income</w:t>
      </w:r>
      <w:r>
        <w:rPr>
          <w:rFonts w:ascii="Arial" w:cs="Arial" w:eastAsia="Arial" w:hAnsi="Arial"/>
          <w:sz w:val="9"/>
          <w:szCs w:val="9"/>
          <w:i w:val="1"/>
          <w:iCs w:val="1"/>
          <w:color w:val="auto"/>
        </w:rPr>
        <w:t>(1)</w:t>
      </w:r>
      <w:r>
        <w:rPr>
          <w:rFonts w:ascii="Arial" w:cs="Arial" w:eastAsia="Arial" w:hAnsi="Arial"/>
          <w:sz w:val="18"/>
          <w:szCs w:val="18"/>
          <w:color w:val="auto"/>
        </w:rPr>
        <w:t xml:space="preserve"> as a percentage of revenues decreased from the comparable prior year period primarily due to reduced volume.</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First Quarter Corporate Results</w:t>
      </w:r>
    </w:p>
    <w:p>
      <w:pPr>
        <w:spacing w:after="0" w:line="185" w:lineRule="exact"/>
        <w:rPr>
          <w:sz w:val="20"/>
          <w:szCs w:val="20"/>
          <w:color w:val="auto"/>
        </w:rPr>
      </w:pPr>
    </w:p>
    <w:p>
      <w:pPr>
        <w:ind w:left="100" w:right="240"/>
        <w:spacing w:after="0" w:line="268" w:lineRule="auto"/>
        <w:rPr>
          <w:sz w:val="20"/>
          <w:szCs w:val="20"/>
          <w:color w:val="auto"/>
        </w:rPr>
      </w:pPr>
      <w:r>
        <w:rPr>
          <w:rFonts w:ascii="Arial" w:cs="Arial" w:eastAsia="Arial" w:hAnsi="Arial"/>
          <w:sz w:val="18"/>
          <w:szCs w:val="18"/>
          <w:color w:val="auto"/>
        </w:rPr>
        <w:t>Operating loss and adjusted operating loss</w:t>
      </w:r>
      <w:r>
        <w:rPr>
          <w:rFonts w:ascii="Arial" w:cs="Arial" w:eastAsia="Arial" w:hAnsi="Arial"/>
          <w:sz w:val="9"/>
          <w:szCs w:val="9"/>
          <w:i w:val="1"/>
          <w:iCs w:val="1"/>
          <w:color w:val="auto"/>
        </w:rPr>
        <w:t>(1)</w:t>
      </w:r>
      <w:r>
        <w:rPr>
          <w:rFonts w:ascii="Arial" w:cs="Arial" w:eastAsia="Arial" w:hAnsi="Arial"/>
          <w:sz w:val="18"/>
          <w:szCs w:val="18"/>
          <w:color w:val="auto"/>
        </w:rPr>
        <w:t xml:space="preserve"> for the quarter increased $1 million from the comparable prior year period primarily due to the gain recognized from the deconsolidation of FSA in the prior year period, partially offset by lower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Non-GAAP measure, see Schedule 6 for information about this measure.</w:t>
      </w:r>
    </w:p>
    <w:p>
      <w:pPr>
        <w:sectPr>
          <w:pgSz w:w="11900" w:h="16838" w:orient="portrait"/>
          <w:cols w:equalWidth="0" w:num="1">
            <w:col w:w="11340"/>
          </w:cols>
          <w:pgMar w:left="220" w:top="944" w:right="339" w:bottom="1440" w:gutter="0" w:footer="0" w:header="0"/>
        </w:sectPr>
      </w:pPr>
    </w:p>
    <w:bookmarkStart w:id="12" w:name="page13"/>
    <w:bookmarkEnd w:id="12"/>
    <w:p>
      <w:pPr>
        <w:ind w:left="200"/>
        <w:spacing w:after="0"/>
        <w:rPr>
          <w:sz w:val="20"/>
          <w:szCs w:val="20"/>
          <w:color w:val="auto"/>
        </w:rPr>
      </w:pPr>
      <w:r>
        <w:rPr>
          <w:rFonts w:ascii="Arial" w:cs="Arial" w:eastAsia="Arial" w:hAnsi="Arial"/>
          <w:sz w:val="18"/>
          <w:szCs w:val="18"/>
          <w:b w:val="1"/>
          <w:bCs w:val="1"/>
          <w:color w:val="auto"/>
        </w:rPr>
        <w:t>Schedule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BACKLOG</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as of the dates presented was: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May 3, 2024</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February 2, 2024</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4"/>
                <w:szCs w:val="14"/>
                <w:color w:val="auto"/>
              </w:rPr>
              <w:t>Defense and</w:t>
            </w: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Civilian</w:t>
            </w:r>
          </w:p>
        </w:tc>
        <w:tc>
          <w:tcPr>
            <w:tcW w:w="32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 SAIC</w:t>
            </w:r>
          </w:p>
        </w:tc>
        <w:tc>
          <w:tcPr>
            <w:tcW w:w="3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Defense and</w:t>
            </w:r>
          </w:p>
        </w:tc>
        <w:tc>
          <w:tcPr>
            <w:tcW w:w="4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Civilian</w:t>
            </w:r>
          </w:p>
        </w:tc>
        <w:tc>
          <w:tcPr>
            <w:tcW w:w="3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Total SAIC</w:t>
            </w:r>
          </w:p>
        </w:tc>
        <w:tc>
          <w:tcPr>
            <w:tcW w:w="0" w:type="dxa"/>
            <w:vAlign w:val="bottom"/>
          </w:tcPr>
          <w:p>
            <w:pPr>
              <w:spacing w:after="0"/>
              <w:rPr>
                <w:sz w:val="1"/>
                <w:szCs w:val="1"/>
                <w:color w:val="auto"/>
              </w:rPr>
            </w:pPr>
          </w:p>
        </w:tc>
      </w:tr>
      <w:tr>
        <w:trPr>
          <w:trHeight w:val="185"/>
        </w:trPr>
        <w:tc>
          <w:tcPr>
            <w:tcW w:w="3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Intelligence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Intelligence</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Funded backlog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2,629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839</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3,468</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40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Negotiated unfunded backlog</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17,226</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20,096</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16,316</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19,855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3,709</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23,564</w:t>
            </w:r>
          </w:p>
        </w:tc>
        <w:tc>
          <w:tcPr>
            <w:tcW w:w="1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19,023</w:t>
            </w:r>
          </w:p>
        </w:tc>
        <w:tc>
          <w:tcPr>
            <w:tcW w:w="400" w:type="dxa"/>
            <w:vAlign w:val="bottom"/>
            <w:tcBorders>
              <w:bottom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22,763</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i w:val="1"/>
          <w:iCs w:val="1"/>
          <w:color w:val="auto"/>
        </w:rPr>
        <w:t>Backlog represents the estimated amount of future revenues to be recognized under negotiated contracts and task orders as work is performed and excludes contract awards which have been protested by competitors until the protest is resolved in our favor. SAIC segregates backlog into two categories, funded backlog and negotiated unfunded backlog. Funded backlog for contracts with government agencies primarily represents contracts for which funding is appropriated less revenues previously recognized on these contracts, and does not include the unfunded portion of contracts where funding is incrementally appropriated or authorized by the U.S. government and other customers even though the contract may call for performance over a number of years. Funded backlog for contracts with non-government agencies represents the estimated value of contracts which may cover multiple future years under which SAIC is obligated to perform, less revenues previously recognized on these contracts. Negotiated unfunded backlog represents the estimated future revenues to be earned from negotiated contracts for which funding has not been appropriated or authorized, and unexercised priced contract options. Negotiated unfunded backlog does not include any estimate of future potential task orders expected to be awarded under indefinite delivery, indefinite quantity (IDIQ), U.S. General Services Administration (GSA) schedules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ectPr>
          <w:pgSz w:w="11900" w:h="16838" w:orient="portrait"/>
          <w:cols w:equalWidth="0" w:num="1">
            <w:col w:w="11220"/>
          </w:cols>
          <w:pgMar w:left="320" w:top="89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Schedule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This schedule describes the non-GAAP financial measures included in this earnings release. While we believe that these non-GAAP financial measures may be useful in evaluating our financial information, they should be considered as supplemental in nature and not as a substitute for financial information prepared in accordance with GAAP. Reconciliations, definitions, and how we believe these measures are useful to management and investors are provided below. Other companies may define similar measures differently.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EBITDA and Adjusted EBITDA</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4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7"/>
                <w:szCs w:val="17"/>
                <w:color w:val="auto"/>
              </w:rPr>
            </w:pPr>
          </w:p>
        </w:tc>
      </w:tr>
      <w:tr>
        <w:trPr>
          <w:trHeight w:val="147"/>
        </w:trPr>
        <w:tc>
          <w:tcPr>
            <w:tcW w:w="8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May 3,</w:t>
            </w:r>
          </w:p>
        </w:tc>
        <w:tc>
          <w:tcPr>
            <w:tcW w:w="7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May 5,</w:t>
            </w:r>
          </w:p>
        </w:tc>
      </w:tr>
      <w:tr>
        <w:trPr>
          <w:trHeight w:val="185"/>
        </w:trPr>
        <w:tc>
          <w:tcPr>
            <w:tcW w:w="8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r>
      <w:tr>
        <w:trPr>
          <w:trHeight w:val="192"/>
        </w:trPr>
        <w:tc>
          <w:tcPr>
            <w:tcW w:w="8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ind w:right="250"/>
              <w:spacing w:after="0"/>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16"/>
                <w:szCs w:val="16"/>
                <w:color w:val="auto"/>
              </w:rPr>
            </w:pPr>
          </w:p>
        </w:tc>
      </w:tr>
      <w:tr>
        <w:trPr>
          <w:trHeight w:val="23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1,847</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7"/>
              </w:rPr>
              <w:t>2,028</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56"/>
              <w:spacing w:after="0"/>
              <w:rPr>
                <w:sz w:val="20"/>
                <w:szCs w:val="20"/>
                <w:color w:val="auto"/>
              </w:rPr>
            </w:pPr>
            <w:r>
              <w:rPr>
                <w:rFonts w:ascii="Arial" w:cs="Arial" w:eastAsia="Arial" w:hAnsi="Arial"/>
                <w:sz w:val="18"/>
                <w:szCs w:val="18"/>
                <w:b w:val="1"/>
                <w:bCs w:val="1"/>
                <w:color w:val="auto"/>
              </w:rPr>
              <w:t>77</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5"/>
              <w:spacing w:after="0"/>
              <w:rPr>
                <w:sz w:val="20"/>
                <w:szCs w:val="20"/>
                <w:color w:val="auto"/>
              </w:rPr>
            </w:pPr>
            <w:r>
              <w:rPr>
                <w:rFonts w:ascii="Arial" w:cs="Arial" w:eastAsia="Arial" w:hAnsi="Arial"/>
                <w:sz w:val="18"/>
                <w:szCs w:val="18"/>
                <w:color w:val="auto"/>
              </w:rPr>
              <w:t>98</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and loss on sale of receivables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37</w:t>
            </w: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35</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9"/>
                <w:szCs w:val="19"/>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b w:val="1"/>
                <w:bCs w:val="1"/>
                <w:color w:val="auto"/>
              </w:rPr>
              <w:t>18</w:t>
            </w:r>
          </w:p>
        </w:tc>
        <w:tc>
          <w:tcPr>
            <w:tcW w:w="720" w:type="dxa"/>
            <w:vAlign w:val="bottom"/>
          </w:tcPr>
          <w:p>
            <w:pPr>
              <w:spacing w:after="0"/>
              <w:rPr>
                <w:sz w:val="19"/>
                <w:szCs w:val="19"/>
                <w:color w:val="auto"/>
              </w:rPr>
            </w:pPr>
          </w:p>
        </w:tc>
        <w:tc>
          <w:tcPr>
            <w:tcW w:w="660" w:type="dxa"/>
            <w:vAlign w:val="bottom"/>
          </w:tcPr>
          <w:p>
            <w:pPr>
              <w:jc w:val="right"/>
              <w:ind w:right="115"/>
              <w:spacing w:after="0"/>
              <w:rPr>
                <w:sz w:val="20"/>
                <w:szCs w:val="20"/>
                <w:color w:val="auto"/>
              </w:rPr>
            </w:pPr>
            <w:r>
              <w:rPr>
                <w:rFonts w:ascii="Arial" w:cs="Arial" w:eastAsia="Arial" w:hAnsi="Arial"/>
                <w:sz w:val="18"/>
                <w:szCs w:val="18"/>
                <w:color w:val="auto"/>
              </w:rPr>
              <w:t>25</w:t>
            </w: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35</w:t>
            </w:r>
          </w:p>
        </w:tc>
        <w:tc>
          <w:tcPr>
            <w:tcW w:w="7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36</w:t>
            </w:r>
          </w:p>
        </w:tc>
      </w:tr>
      <w:tr>
        <w:trPr>
          <w:trHeight w:val="229"/>
        </w:trPr>
        <w:tc>
          <w:tcPr>
            <w:tcW w:w="84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EBITDA</w:t>
            </w:r>
            <w:r>
              <w:rPr>
                <w:rFonts w:ascii="Arial" w:cs="Arial" w:eastAsia="Arial" w:hAnsi="Arial"/>
                <w:sz w:val="23"/>
                <w:szCs w:val="23"/>
                <w:b w:val="1"/>
                <w:bCs w:val="1"/>
                <w:color w:val="auto"/>
                <w:vertAlign w:val="superscript"/>
              </w:rPr>
              <w:t>(1)</w:t>
            </w:r>
          </w:p>
        </w:tc>
        <w:tc>
          <w:tcPr>
            <w:tcW w:w="380" w:type="dxa"/>
            <w:vAlign w:val="bottom"/>
          </w:tcPr>
          <w:p>
            <w:pPr>
              <w:spacing w:after="0"/>
              <w:rPr>
                <w:sz w:val="19"/>
                <w:szCs w:val="19"/>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b w:val="1"/>
                <w:bCs w:val="1"/>
                <w:color w:val="auto"/>
              </w:rPr>
              <w:t>167</w:t>
            </w:r>
          </w:p>
        </w:tc>
        <w:tc>
          <w:tcPr>
            <w:tcW w:w="720" w:type="dxa"/>
            <w:vAlign w:val="bottom"/>
          </w:tcPr>
          <w:p>
            <w:pPr>
              <w:spacing w:after="0"/>
              <w:rPr>
                <w:sz w:val="19"/>
                <w:szCs w:val="19"/>
                <w:color w:val="auto"/>
              </w:rPr>
            </w:pPr>
          </w:p>
        </w:tc>
        <w:tc>
          <w:tcPr>
            <w:tcW w:w="660" w:type="dxa"/>
            <w:vAlign w:val="bottom"/>
          </w:tcPr>
          <w:p>
            <w:pPr>
              <w:jc w:val="right"/>
              <w:ind w:right="115"/>
              <w:spacing w:after="0"/>
              <w:rPr>
                <w:sz w:val="20"/>
                <w:szCs w:val="20"/>
                <w:color w:val="auto"/>
              </w:rPr>
            </w:pPr>
            <w:r>
              <w:rPr>
                <w:rFonts w:ascii="Arial" w:cs="Arial" w:eastAsia="Arial" w:hAnsi="Arial"/>
                <w:sz w:val="18"/>
                <w:szCs w:val="18"/>
                <w:color w:val="auto"/>
              </w:rPr>
              <w:t>194</w:t>
            </w:r>
          </w:p>
        </w:tc>
      </w:tr>
      <w:tr>
        <w:trPr>
          <w:trHeight w:val="195"/>
        </w:trPr>
        <w:tc>
          <w:tcPr>
            <w:tcW w:w="8460" w:type="dxa"/>
            <w:vAlign w:val="bottom"/>
          </w:tcPr>
          <w:p>
            <w:pPr>
              <w:ind w:left="140"/>
              <w:spacing w:after="0"/>
              <w:rPr>
                <w:sz w:val="20"/>
                <w:szCs w:val="20"/>
                <w:color w:val="auto"/>
              </w:rPr>
            </w:pPr>
            <w:r>
              <w:rPr>
                <w:rFonts w:ascii="Arial" w:cs="Arial" w:eastAsia="Arial" w:hAnsi="Arial"/>
                <w:sz w:val="14"/>
                <w:szCs w:val="14"/>
                <w:i w:val="1"/>
                <w:iCs w:val="1"/>
                <w:color w:val="auto"/>
              </w:rPr>
              <w:t>EBITDA as a percentage of revenues</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9.0 %</w:t>
            </w:r>
          </w:p>
        </w:tc>
        <w:tc>
          <w:tcPr>
            <w:tcW w:w="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9.6 %</w:t>
            </w:r>
          </w:p>
        </w:tc>
      </w:tr>
      <w:tr>
        <w:trPr>
          <w:trHeight w:val="231"/>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(2)</w:t>
            </w: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Restructuring and impairment costs</w:t>
            </w:r>
          </w:p>
        </w:tc>
        <w:tc>
          <w:tcPr>
            <w:tcW w:w="380" w:type="dxa"/>
            <w:vAlign w:val="bottom"/>
          </w:tcPr>
          <w:p>
            <w:pPr>
              <w:spacing w:after="0"/>
              <w:rPr>
                <w:sz w:val="19"/>
                <w:szCs w:val="19"/>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b w:val="1"/>
                <w:bCs w:val="1"/>
                <w:color w:val="auto"/>
              </w:rPr>
              <w:t>2</w:t>
            </w:r>
          </w:p>
        </w:tc>
        <w:tc>
          <w:tcPr>
            <w:tcW w:w="720" w:type="dxa"/>
            <w:vAlign w:val="bottom"/>
          </w:tcPr>
          <w:p>
            <w:pPr>
              <w:spacing w:after="0"/>
              <w:rPr>
                <w:sz w:val="19"/>
                <w:szCs w:val="19"/>
                <w:color w:val="auto"/>
              </w:rPr>
            </w:pPr>
          </w:p>
        </w:tc>
        <w:tc>
          <w:tcPr>
            <w:tcW w:w="660" w:type="dxa"/>
            <w:vAlign w:val="bottom"/>
          </w:tcPr>
          <w:p>
            <w:pPr>
              <w:jc w:val="right"/>
              <w:ind w:right="115"/>
              <w:spacing w:after="0"/>
              <w:rPr>
                <w:sz w:val="20"/>
                <w:szCs w:val="20"/>
                <w:color w:val="auto"/>
              </w:rPr>
            </w:pPr>
            <w:r>
              <w:rPr>
                <w:rFonts w:ascii="Arial" w:cs="Arial" w:eastAsia="Arial" w:hAnsi="Arial"/>
                <w:sz w:val="18"/>
                <w:szCs w:val="18"/>
                <w:color w:val="auto"/>
              </w:rPr>
              <w:t>1</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Recovery of acquisition and integration costs and restructuring and impairment costs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(1)</w:t>
            </w: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loss on divestitures, net of transaction costs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w:t>
            </w:r>
          </w:p>
        </w:tc>
      </w:tr>
      <w:tr>
        <w:trPr>
          <w:trHeight w:val="223"/>
        </w:trPr>
        <w:tc>
          <w:tcPr>
            <w:tcW w:w="8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166</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189</w:t>
            </w:r>
          </w:p>
        </w:tc>
      </w:tr>
      <w:tr>
        <w:trPr>
          <w:trHeight w:val="202"/>
        </w:trPr>
        <w:tc>
          <w:tcPr>
            <w:tcW w:w="8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i w:val="1"/>
                <w:iCs w:val="1"/>
                <w:color w:val="auto"/>
              </w:rPr>
              <w:t>Adjusted EBITDA as a percentage of revenues</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9.0 %</w:t>
            </w:r>
          </w:p>
        </w:tc>
        <w:tc>
          <w:tcPr>
            <w:tcW w:w="7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9.3 %</w:t>
            </w:r>
          </w:p>
        </w:tc>
      </w:tr>
    </w:tbl>
    <w:p>
      <w:pPr>
        <w:spacing w:after="0" w:line="195"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i w:val="1"/>
          <w:iCs w:val="1"/>
          <w:color w:val="auto"/>
        </w:rPr>
        <w:t>EBITDA is a performance measure that is calculated by taking net income and excluding interest and loss on sale of receivables, provision for income taxes, and depreciation and amortization. Adjusted EBITDA is a performance measure that excludes the impact of non-recurring transactions that we do not consider to be indicative of our ongoing operating performance. The acquisition and integration costs relate to the Company's acquisitions. The restructuring and impairment costs represent the reorganization and facilities optimization costs or impairments of long-lived assets. The recovery of acquisition and integration costs and restructuring and impairment costs relate to costs recovered through the Company's indirect rates in accordance with Cost Accounting Standards. The (gain) loss on divestitures includes gains associated with the deconsolidation of FSA and the sale of the logistics and supply chain management business, net of transaction costs. We believe that these performance measures provide management and investors with useful information in assessing trends in our ongoing operating performance and may provide greater visibility in understanding the long-term financial performance of the Company.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Non-GAAP measure, see above for definition.</w:t>
      </w:r>
    </w:p>
    <w:p>
      <w:pPr>
        <w:sectPr>
          <w:pgSz w:w="11900" w:h="16838" w:orient="portrait"/>
          <w:cols w:equalWidth="0" w:num="1">
            <w:col w:w="11220"/>
          </w:cols>
          <w:pgMar w:left="320" w:top="89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Schedule 6 (continued):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Operating Income</w:t>
      </w:r>
    </w:p>
    <w:p>
      <w:pPr>
        <w:spacing w:after="0" w:line="200" w:lineRule="exact"/>
        <w:rPr>
          <w:sz w:val="20"/>
          <w:szCs w:val="20"/>
          <w:color w:val="auto"/>
        </w:rPr>
      </w:pPr>
    </w:p>
    <w:p>
      <w:pPr>
        <w:spacing w:after="0" w:line="313"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Three Months Ended May 3,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(dollars in millions)</w:t>
            </w: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47"/>
              <w:spacing w:after="0" w:line="126" w:lineRule="exact"/>
              <w:rPr>
                <w:sz w:val="20"/>
                <w:szCs w:val="20"/>
                <w:color w:val="auto"/>
              </w:rPr>
            </w:pPr>
            <w:r>
              <w:rPr>
                <w:rFonts w:ascii="Arial" w:cs="Arial" w:eastAsia="Arial" w:hAnsi="Arial"/>
                <w:sz w:val="13"/>
                <w:szCs w:val="13"/>
                <w:color w:val="auto"/>
              </w:rPr>
              <w:t>Recovery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47"/>
              <w:spacing w:after="0" w:line="122" w:lineRule="exact"/>
              <w:rPr>
                <w:sz w:val="20"/>
                <w:szCs w:val="20"/>
                <w:color w:val="auto"/>
              </w:rPr>
            </w:pPr>
            <w:r>
              <w:rPr>
                <w:rFonts w:ascii="Arial" w:cs="Arial" w:eastAsia="Arial" w:hAnsi="Arial"/>
                <w:sz w:val="13"/>
                <w:szCs w:val="13"/>
                <w:color w:val="auto"/>
              </w:rPr>
              <w:t>acquisition and</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47"/>
              <w:spacing w:after="0" w:line="131" w:lineRule="exact"/>
              <w:rPr>
                <w:sz w:val="20"/>
                <w:szCs w:val="20"/>
                <w:color w:val="auto"/>
              </w:rPr>
            </w:pPr>
            <w:r>
              <w:rPr>
                <w:rFonts w:ascii="Arial" w:cs="Arial" w:eastAsia="Arial" w:hAnsi="Arial"/>
                <w:sz w:val="13"/>
                <w:szCs w:val="13"/>
                <w:color w:val="auto"/>
              </w:rPr>
              <w:t>integration costs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Acquisition and</w:t>
            </w:r>
          </w:p>
        </w:tc>
        <w:tc>
          <w:tcPr>
            <w:tcW w:w="1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w w:val="95"/>
              </w:rPr>
              <w:t>Restructuring and</w:t>
            </w:r>
          </w:p>
        </w:tc>
        <w:tc>
          <w:tcPr>
            <w:tcW w:w="200" w:type="dxa"/>
            <w:vAlign w:val="bottom"/>
          </w:tcPr>
          <w:p>
            <w:pPr>
              <w:spacing w:after="0"/>
              <w:rPr>
                <w:sz w:val="10"/>
                <w:szCs w:val="10"/>
                <w:color w:val="auto"/>
              </w:rPr>
            </w:pPr>
          </w:p>
        </w:tc>
        <w:tc>
          <w:tcPr>
            <w:tcW w:w="1120" w:type="dxa"/>
            <w:vAlign w:val="bottom"/>
          </w:tcPr>
          <w:p>
            <w:pPr>
              <w:jc w:val="right"/>
              <w:ind w:right="47"/>
              <w:spacing w:after="0" w:line="126" w:lineRule="exact"/>
              <w:rPr>
                <w:sz w:val="20"/>
                <w:szCs w:val="20"/>
                <w:color w:val="auto"/>
              </w:rPr>
            </w:pPr>
            <w:r>
              <w:rPr>
                <w:rFonts w:ascii="Arial" w:cs="Arial" w:eastAsia="Arial" w:hAnsi="Arial"/>
                <w:sz w:val="13"/>
                <w:szCs w:val="13"/>
                <w:color w:val="auto"/>
              </w:rPr>
              <w:t>and restructuring</w:t>
            </w: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Amortization of</w:t>
            </w:r>
          </w:p>
        </w:tc>
        <w:tc>
          <w:tcPr>
            <w:tcW w:w="320" w:type="dxa"/>
            <w:vAlign w:val="bottom"/>
          </w:tcPr>
          <w:p>
            <w:pPr>
              <w:spacing w:after="0"/>
              <w:rPr>
                <w:sz w:val="10"/>
                <w:szCs w:val="10"/>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3"/>
                <w:szCs w:val="13"/>
                <w:b w:val="1"/>
                <w:bCs w:val="1"/>
                <w:color w:val="auto"/>
              </w:rPr>
              <w:t>Non-GAAP</w:t>
            </w:r>
          </w:p>
        </w:tc>
        <w:tc>
          <w:tcPr>
            <w:tcW w:w="13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Non-GAAP operating</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As Reported</w:t>
            </w:r>
          </w:p>
        </w:tc>
        <w:tc>
          <w:tcPr>
            <w:tcW w:w="1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47"/>
              <w:spacing w:after="0" w:line="122" w:lineRule="exact"/>
              <w:rPr>
                <w:sz w:val="20"/>
                <w:szCs w:val="20"/>
                <w:color w:val="auto"/>
              </w:rPr>
            </w:pPr>
            <w:r>
              <w:rPr>
                <w:rFonts w:ascii="Arial" w:cs="Arial" w:eastAsia="Arial" w:hAnsi="Arial"/>
                <w:sz w:val="13"/>
                <w:szCs w:val="13"/>
                <w:color w:val="auto"/>
              </w:rPr>
              <w:t>and impairment</w:t>
            </w: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integration costs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impairment costs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color w:val="auto"/>
              </w:rPr>
              <w:t>costs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intangible assets</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results</w:t>
            </w:r>
            <w:r>
              <w:rPr>
                <w:rFonts w:ascii="Arial" w:cs="Arial" w:eastAsia="Arial" w:hAnsi="Arial"/>
                <w:sz w:val="16"/>
                <w:szCs w:val="16"/>
                <w:b w:val="1"/>
                <w:bCs w:val="1"/>
                <w:color w:val="auto"/>
                <w:vertAlign w:val="superscript"/>
              </w:rPr>
              <w:t>(1)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margin</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Defense and Intelligence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124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8.6 %</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Civilian</w:t>
            </w:r>
          </w:p>
        </w:tc>
        <w:tc>
          <w:tcPr>
            <w:tcW w:w="22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b w:val="1"/>
                <w:bCs w:val="1"/>
                <w:color w:val="auto"/>
              </w:rPr>
              <w:t>34</w:t>
            </w:r>
          </w:p>
        </w:tc>
        <w:tc>
          <w:tcPr>
            <w:tcW w:w="1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ind w:right="10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8"/>
                <w:szCs w:val="18"/>
                <w:b w:val="1"/>
                <w:bCs w:val="1"/>
                <w:color w:val="auto"/>
              </w:rPr>
              <w:t>46</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11.2 %</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29</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159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8.6 %</w:t>
            </w:r>
          </w:p>
        </w:tc>
        <w:tc>
          <w:tcPr>
            <w:tcW w:w="0" w:type="dxa"/>
            <w:vAlign w:val="bottom"/>
          </w:tcPr>
          <w:p>
            <w:pPr>
              <w:spacing w:after="0"/>
              <w:rPr>
                <w:sz w:val="1"/>
                <w:szCs w:val="1"/>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Three Months Ended May 5,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gridSpan w:val="3"/>
          </w:tcPr>
          <w:p>
            <w:pPr>
              <w:jc w:val="center"/>
              <w:ind w:right="62"/>
              <w:spacing w:after="0"/>
              <w:rPr>
                <w:sz w:val="20"/>
                <w:szCs w:val="20"/>
                <w:color w:val="auto"/>
              </w:rPr>
            </w:pPr>
            <w:r>
              <w:rPr>
                <w:rFonts w:ascii="Arial" w:cs="Arial" w:eastAsia="Arial" w:hAnsi="Arial"/>
                <w:sz w:val="13"/>
                <w:szCs w:val="13"/>
                <w:color w:val="auto"/>
                <w:w w:val="96"/>
              </w:rPr>
              <w:t>(dollars in millions)</w:t>
            </w:r>
          </w:p>
        </w:tc>
        <w:tc>
          <w:tcPr>
            <w:tcW w:w="5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Restructuring and</w:t>
            </w:r>
          </w:p>
        </w:tc>
        <w:tc>
          <w:tcPr>
            <w:tcW w:w="2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Amortization of</w:t>
            </w:r>
          </w:p>
        </w:tc>
        <w:tc>
          <w:tcPr>
            <w:tcW w:w="30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(Gain) loss on</w:t>
            </w: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Non-GAAP operating</w:t>
            </w:r>
          </w:p>
        </w:tc>
        <w:tc>
          <w:tcPr>
            <w:tcW w:w="0" w:type="dxa"/>
            <w:vAlign w:val="bottom"/>
          </w:tcPr>
          <w:p>
            <w:pPr>
              <w:spacing w:after="0"/>
              <w:rPr>
                <w:sz w:val="1"/>
                <w:szCs w:val="1"/>
                <w:color w:val="auto"/>
              </w:rPr>
            </w:pPr>
          </w:p>
        </w:tc>
      </w:tr>
      <w:tr>
        <w:trPr>
          <w:trHeight w:val="126"/>
        </w:trPr>
        <w:tc>
          <w:tcPr>
            <w:tcW w:w="2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As Reported</w:t>
            </w:r>
          </w:p>
        </w:tc>
        <w:tc>
          <w:tcPr>
            <w:tcW w:w="2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jc w:val="right"/>
              <w:spacing w:after="0" w:line="126" w:lineRule="exact"/>
              <w:rPr>
                <w:sz w:val="20"/>
                <w:szCs w:val="20"/>
                <w:color w:val="auto"/>
              </w:rPr>
            </w:pPr>
            <w:r>
              <w:rPr>
                <w:rFonts w:ascii="Arial" w:cs="Arial" w:eastAsia="Arial" w:hAnsi="Arial"/>
                <w:sz w:val="13"/>
                <w:szCs w:val="13"/>
                <w:color w:val="auto"/>
              </w:rPr>
              <w:t>divestitures, net of</w:t>
            </w:r>
          </w:p>
        </w:tc>
        <w:tc>
          <w:tcPr>
            <w:tcW w:w="1500" w:type="dxa"/>
            <w:vAlign w:val="bottom"/>
            <w:gridSpan w:val="2"/>
            <w:vMerge w:val="restart"/>
          </w:tcPr>
          <w:p>
            <w:pPr>
              <w:jc w:val="right"/>
              <w:ind w:right="90"/>
              <w:spacing w:after="0"/>
              <w:rPr>
                <w:sz w:val="20"/>
                <w:szCs w:val="20"/>
                <w:color w:val="auto"/>
              </w:rPr>
            </w:pPr>
            <w:r>
              <w:rPr>
                <w:rFonts w:ascii="Arial" w:cs="Arial" w:eastAsia="Arial" w:hAnsi="Arial"/>
                <w:sz w:val="13"/>
                <w:szCs w:val="13"/>
                <w:b w:val="1"/>
                <w:bCs w:val="1"/>
                <w:color w:val="auto"/>
              </w:rPr>
              <w:t>Non-GAAP results</w:t>
            </w:r>
            <w:r>
              <w:rPr>
                <w:rFonts w:ascii="Arial" w:cs="Arial" w:eastAsia="Arial" w:hAnsi="Arial"/>
                <w:sz w:val="16"/>
                <w:szCs w:val="16"/>
                <w:b w:val="1"/>
                <w:bCs w:val="1"/>
                <w:color w:val="auto"/>
                <w:vertAlign w:val="superscript"/>
              </w:rPr>
              <w:t>(1)</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intangible assets</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transaction costs</w:t>
            </w:r>
          </w:p>
        </w:tc>
        <w:tc>
          <w:tcPr>
            <w:tcW w:w="1500" w:type="dxa"/>
            <w:vAlign w:val="bottom"/>
            <w:tcBorders>
              <w:bottom w:val="single" w:sz="8" w:color="auto"/>
            </w:tcBorders>
            <w:gridSpan w:val="2"/>
            <w:vMerge w:val="continue"/>
          </w:tcPr>
          <w:p>
            <w:pPr>
              <w:spacing w:after="0"/>
              <w:rPr>
                <w:sz w:val="15"/>
                <w:szCs w:val="15"/>
                <w:color w:val="auto"/>
              </w:rPr>
            </w:pPr>
          </w:p>
        </w:tc>
        <w:tc>
          <w:tcPr>
            <w:tcW w:w="14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rPr>
              <w:t>margin</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Defense and Intelligence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Civilian</w:t>
            </w:r>
          </w:p>
        </w:tc>
        <w:tc>
          <w:tcPr>
            <w:tcW w:w="34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42</w:t>
            </w:r>
          </w:p>
        </w:tc>
        <w:tc>
          <w:tcPr>
            <w:tcW w:w="28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54</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12.5 %</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(6)</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157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(6)</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8.9 %</w:t>
            </w:r>
          </w:p>
        </w:tc>
        <w:tc>
          <w:tcPr>
            <w:tcW w:w="0" w:type="dxa"/>
            <w:vAlign w:val="bottom"/>
          </w:tcPr>
          <w:p>
            <w:pPr>
              <w:spacing w:after="0"/>
              <w:rPr>
                <w:sz w:val="1"/>
                <w:szCs w:val="1"/>
                <w:color w:val="auto"/>
              </w:rPr>
            </w:pPr>
          </w:p>
        </w:tc>
      </w:tr>
      <w:tr>
        <w:trPr>
          <w:trHeight w:val="21"/>
        </w:trPr>
        <w:tc>
          <w:tcPr>
            <w:tcW w:w="2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i w:val="1"/>
          <w:iCs w:val="1"/>
          <w:color w:val="auto"/>
        </w:rPr>
        <w:t>Adjusted operating income is a performance measure that excludes the impact of non-recurring transactions that we do not consider to be indicative of our ongoing operating performance. The acquisition and integration costs relate to the Company's acquisitions. The restructuring and impairment costs represent the reorganization and facilities optimization costs or impairments of long-lived assets. The recovery of acquisition and integration costs and restructuring and impairment costs relate to costs recovered through the Company's indirect rates in accordance with Cost Accounting Standards. Adjusted operating income also excludes amortization of intangible assets because we do not have a history of significant acquisition activity, we do not acquire businesses on a predictable cycle, and the amount of an acquisition's purchase price allocated to intangible assets and the related amortization term are unique to each acquisition. The (gain) loss on divestitures includes gains associated with the deconsolidation of FSA and the sale of the logistics and supply chain management business, net of transaction costs. We believe that these performance measures provide management and investors with useful information in assessing trends in our ongoing operating performance and may provide greater visibility in understanding the long-term financial performance of the Company. All adjustments to operating income for the periods presented were associated with Corporate costs and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Non-GAAP measure, see above for definition.</w:t>
      </w:r>
    </w:p>
    <w:p>
      <w:pPr>
        <w:sectPr>
          <w:pgSz w:w="11900" w:h="16838" w:orient="portrait"/>
          <w:cols w:equalWidth="0" w:num="1">
            <w:col w:w="11240"/>
          </w:cols>
          <w:pgMar w:left="320" w:top="106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Schedule 6 (continued):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Diluted Earnings Per Share</w:t>
      </w:r>
    </w:p>
    <w:p>
      <w:pPr>
        <w:spacing w:after="0" w:line="162"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Three Months Ended May 3,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0" w:type="dxa"/>
            <w:vAlign w:val="bottom"/>
            <w:tcBorders>
              <w:top w:val="single" w:sz="8" w:color="auto"/>
            </w:tcBorders>
            <w:gridSpan w:val="3"/>
          </w:tcPr>
          <w:p>
            <w:pPr>
              <w:jc w:val="right"/>
              <w:ind w:right="802"/>
              <w:spacing w:after="0"/>
              <w:rPr>
                <w:sz w:val="20"/>
                <w:szCs w:val="20"/>
                <w:color w:val="auto"/>
              </w:rPr>
            </w:pPr>
            <w:r>
              <w:rPr>
                <w:rFonts w:ascii="Arial" w:cs="Arial" w:eastAsia="Arial" w:hAnsi="Arial"/>
                <w:sz w:val="13"/>
                <w:szCs w:val="13"/>
                <w:color w:val="auto"/>
              </w:rPr>
              <w:t>(dollars in millions)</w:t>
            </w: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Recovery of acquisition</w:t>
            </w: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Acquisition and</w:t>
            </w:r>
          </w:p>
        </w:tc>
        <w:tc>
          <w:tcPr>
            <w:tcW w:w="2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Restructuring and</w:t>
            </w:r>
          </w:p>
        </w:tc>
        <w:tc>
          <w:tcPr>
            <w:tcW w:w="20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Arial" w:cs="Arial" w:eastAsia="Arial" w:hAnsi="Arial"/>
                <w:sz w:val="13"/>
                <w:szCs w:val="13"/>
                <w:color w:val="auto"/>
                <w:w w:val="98"/>
              </w:rPr>
              <w:t>and integration costs</w:t>
            </w:r>
          </w:p>
        </w:tc>
        <w:tc>
          <w:tcPr>
            <w:tcW w:w="28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Amortization of</w:t>
            </w: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As Reported</w:t>
            </w:r>
          </w:p>
        </w:tc>
        <w:tc>
          <w:tcPr>
            <w:tcW w:w="2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3"/>
                <w:szCs w:val="13"/>
                <w:color w:val="auto"/>
                <w:w w:val="96"/>
              </w:rPr>
              <w:t>and restructuring and</w:t>
            </w:r>
          </w:p>
        </w:tc>
        <w:tc>
          <w:tcPr>
            <w:tcW w:w="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Non-GAAP results</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76"/>
        </w:trPr>
        <w:tc>
          <w:tcPr>
            <w:tcW w:w="29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integration costs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intangible assets</w:t>
            </w:r>
          </w:p>
        </w:tc>
        <w:tc>
          <w:tcPr>
            <w:tcW w:w="13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jc w:val="right"/>
              <w:ind w:right="29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77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0.46</w:t>
            </w:r>
          </w:p>
        </w:tc>
        <w:tc>
          <w:tcPr>
            <w:tcW w:w="5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auto"/>
        </w:rPr>
        <w:t>Three Months Ended May 5,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42"/>
              <w:spacing w:after="0"/>
              <w:rPr>
                <w:sz w:val="20"/>
                <w:szCs w:val="20"/>
                <w:color w:val="auto"/>
              </w:rPr>
            </w:pPr>
            <w:r>
              <w:rPr>
                <w:rFonts w:ascii="Arial" w:cs="Arial" w:eastAsia="Arial" w:hAnsi="Arial"/>
                <w:sz w:val="13"/>
                <w:szCs w:val="13"/>
                <w:color w:val="auto"/>
                <w:w w:val="96"/>
              </w:rPr>
              <w:t>(dollars in millions)</w:t>
            </w: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Restructuring and</w:t>
            </w:r>
          </w:p>
        </w:tc>
        <w:tc>
          <w:tcPr>
            <w:tcW w:w="18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Amortization of</w:t>
            </w:r>
          </w:p>
        </w:tc>
        <w:tc>
          <w:tcPr>
            <w:tcW w:w="260" w:type="dxa"/>
            <w:vAlign w:val="bottom"/>
          </w:tcPr>
          <w:p>
            <w:pPr>
              <w:spacing w:after="0"/>
              <w:rPr>
                <w:sz w:val="10"/>
                <w:szCs w:val="10"/>
                <w:color w:val="auto"/>
              </w:rPr>
            </w:pPr>
          </w:p>
        </w:tc>
        <w:tc>
          <w:tcPr>
            <w:tcW w:w="1200" w:type="dxa"/>
            <w:vAlign w:val="bottom"/>
          </w:tcPr>
          <w:p>
            <w:pPr>
              <w:jc w:val="right"/>
              <w:spacing w:after="0" w:line="126" w:lineRule="exact"/>
              <w:rPr>
                <w:sz w:val="20"/>
                <w:szCs w:val="20"/>
                <w:color w:val="auto"/>
              </w:rPr>
            </w:pPr>
            <w:r>
              <w:rPr>
                <w:rFonts w:ascii="Arial" w:cs="Arial" w:eastAsia="Arial" w:hAnsi="Arial"/>
                <w:sz w:val="13"/>
                <w:szCs w:val="13"/>
                <w:color w:val="auto"/>
              </w:rPr>
              <w:t>(Gain) loss on</w:t>
            </w: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As Reported</w:t>
            </w:r>
          </w:p>
        </w:tc>
        <w:tc>
          <w:tcPr>
            <w:tcW w:w="2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line="122" w:lineRule="exact"/>
              <w:rPr>
                <w:sz w:val="20"/>
                <w:szCs w:val="20"/>
                <w:color w:val="auto"/>
              </w:rPr>
            </w:pPr>
            <w:r>
              <w:rPr>
                <w:rFonts w:ascii="Arial" w:cs="Arial" w:eastAsia="Arial" w:hAnsi="Arial"/>
                <w:sz w:val="13"/>
                <w:szCs w:val="13"/>
                <w:color w:val="auto"/>
              </w:rPr>
              <w:t>divestitures, net of</w:t>
            </w:r>
          </w:p>
        </w:tc>
        <w:tc>
          <w:tcPr>
            <w:tcW w:w="1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Non-GAAP results</w:t>
            </w:r>
            <w:r>
              <w:rPr>
                <w:rFonts w:ascii="Arial" w:cs="Arial" w:eastAsia="Arial" w:hAnsi="Arial"/>
                <w:sz w:val="16"/>
                <w:szCs w:val="16"/>
                <w:b w:val="1"/>
                <w:bCs w:val="1"/>
                <w:color w:val="auto"/>
                <w:w w:val="93"/>
                <w:vertAlign w:val="superscript"/>
              </w:rPr>
              <w:t>(1)</w:t>
            </w:r>
          </w:p>
        </w:tc>
        <w:tc>
          <w:tcPr>
            <w:tcW w:w="0" w:type="dxa"/>
            <w:vAlign w:val="bottom"/>
          </w:tcPr>
          <w:p>
            <w:pPr>
              <w:spacing w:after="0"/>
              <w:rPr>
                <w:sz w:val="1"/>
                <w:szCs w:val="1"/>
                <w:color w:val="auto"/>
              </w:rPr>
            </w:pPr>
          </w:p>
        </w:tc>
      </w:tr>
      <w:tr>
        <w:trPr>
          <w:trHeight w:val="189"/>
        </w:trPr>
        <w:tc>
          <w:tcPr>
            <w:tcW w:w="3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intangible assets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transaction costs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123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98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1.79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0.42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(0.09)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i w:val="1"/>
          <w:iCs w:val="1"/>
          <w:color w:val="auto"/>
        </w:rPr>
        <w:t>Adjusted diluted earnings per share is a performance measure that excludes the impact of non-recurring transactions that we do not consider to be indicative of our ongoing operating performance. The acquisition and integration costs relate to the Company's acquisitions. The restructuring and impairment costs represent the reorganization and facilities optimization costs or impairments of long-lived assets. The recovery of acquisition and integration costs and restructuring and impairment costs relate to costs recovered through the Company's indirect rates in accordance with Cost Accounting Standards. Adjusted diluted earnings per share also excludes amortization of intangible assets because we do not have a history of significant acquisition activity, we do not acquire businesses on a predictable cycle, and the amount of an acquisition's purchase price allocated to intangible assets and the related amortization term are unique to each acquisition. The (gain) on divestitures includes gains associated with the deconsolidation of FSA and the sale of the logistics and supply chain management business, net of transaction costs. Adjusted diluted earnings per share also excludes amortization of intangible assets because we do not have a history of significant acquisition activity, we do not acquire businesses on a predictable cycle, and the amount of an acquisition's purchase price allocated to intangible assets and the related amortization term are unique to each acquisition. We believe that this performance measure provides management and investors with useful information in assessing trends in our ongoing operating performance and may provide greater visibility in understanding the long-term financial performance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Non-GAAP measure, see above for definition.</w:t>
      </w:r>
    </w:p>
    <w:p>
      <w:pPr>
        <w:sectPr>
          <w:pgSz w:w="11900" w:h="16838" w:orient="portrait"/>
          <w:cols w:equalWidth="0" w:num="1">
            <w:col w:w="11240"/>
          </w:cols>
          <w:pgMar w:left="320" w:top="106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Schedule 6 (continued):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Free Cash Flow and Transaction-Adjusted Free Cash Flow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43"/>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May 3,</w:t>
            </w:r>
          </w:p>
        </w:tc>
        <w:tc>
          <w:tcPr>
            <w:tcW w:w="80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w w:val="99"/>
              </w:rPr>
              <w:t>May 5,</w:t>
            </w:r>
          </w:p>
        </w:tc>
        <w:tc>
          <w:tcPr>
            <w:tcW w:w="2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8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jc w:val="right"/>
              <w:ind w:right="350"/>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8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98</w:t>
            </w:r>
          </w:p>
        </w:tc>
        <w:tc>
          <w:tcPr>
            <w:tcW w:w="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6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MARPA Facility</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57"/>
              <w:spacing w:after="0"/>
              <w:rPr>
                <w:sz w:val="20"/>
                <w:szCs w:val="20"/>
                <w:color w:val="auto"/>
              </w:rPr>
            </w:pPr>
            <w:r>
              <w:rPr>
                <w:rFonts w:ascii="Arial" w:cs="Arial" w:eastAsia="Arial" w:hAnsi="Arial"/>
                <w:sz w:val="18"/>
                <w:szCs w:val="18"/>
                <w:b w:val="1"/>
                <w:bCs w:val="1"/>
                <w:color w:val="auto"/>
              </w:rPr>
              <w:t>13</w:t>
            </w:r>
          </w:p>
        </w:tc>
        <w:tc>
          <w:tcPr>
            <w:tcW w:w="8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L&amp;SCM divestiture transition services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8</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Transaction-adjusted free cash flow</w:t>
            </w:r>
            <w:r>
              <w:rPr>
                <w:rFonts w:ascii="Arial" w:cs="Arial" w:eastAsia="Arial" w:hAnsi="Arial"/>
                <w:sz w:val="23"/>
                <w:szCs w:val="23"/>
                <w:b w:val="1"/>
                <w:bCs w:val="1"/>
                <w:color w:val="auto"/>
                <w:vertAlign w:val="superscript"/>
              </w:rPr>
              <w:t>(1)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21</w:t>
            </w:r>
          </w:p>
        </w:tc>
        <w:tc>
          <w:tcPr>
            <w:tcW w:w="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rPr>
              <w:t>FY25 Guidance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left="137"/>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7"/>
        </w:trPr>
        <w:tc>
          <w:tcPr>
            <w:tcW w:w="20" w:type="dxa"/>
            <w:vAlign w:val="bottom"/>
            <w:shd w:val="clear" w:color="auto" w:fill="CCEEFF"/>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b w:val="1"/>
                <w:bCs w:val="1"/>
                <w:color w:val="auto"/>
              </w:rPr>
              <w:t>$520 to $540</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8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Expenditures for property, plant, and equipment</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left="137"/>
              <w:spacing w:after="0"/>
              <w:rPr>
                <w:sz w:val="20"/>
                <w:szCs w:val="20"/>
                <w:color w:val="auto"/>
              </w:rPr>
            </w:pPr>
            <w:r>
              <w:rPr>
                <w:rFonts w:ascii="Arial" w:cs="Arial" w:eastAsia="Arial" w:hAnsi="Arial"/>
                <w:sz w:val="18"/>
                <w:szCs w:val="18"/>
                <w:color w:val="auto"/>
                <w:w w:val="99"/>
              </w:rPr>
              <w:t>Approximately $30</w:t>
            </w: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8660" w:type="dxa"/>
            <w:vAlign w:val="bottom"/>
            <w:tcBorders>
              <w:bottom w:val="single" w:sz="8" w:color="auto"/>
            </w:tcBorders>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34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gridSpan w:val="2"/>
            <w:shd w:val="clear" w:color="auto" w:fill="CCEEFF"/>
          </w:tcPr>
          <w:p>
            <w:pPr>
              <w:jc w:val="center"/>
              <w:ind w:left="137"/>
              <w:spacing w:after="0"/>
              <w:rPr>
                <w:sz w:val="20"/>
                <w:szCs w:val="20"/>
                <w:color w:val="auto"/>
              </w:rPr>
            </w:pPr>
            <w:r>
              <w:rPr>
                <w:rFonts w:ascii="Arial" w:cs="Arial" w:eastAsia="Arial" w:hAnsi="Arial"/>
                <w:sz w:val="18"/>
                <w:szCs w:val="18"/>
                <w:b w:val="1"/>
                <w:bCs w:val="1"/>
                <w:color w:val="auto"/>
              </w:rPr>
              <w:t>$490 to $510</w:t>
            </w:r>
          </w:p>
        </w:tc>
        <w:tc>
          <w:tcPr>
            <w:tcW w:w="4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8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i w:val="1"/>
          <w:iCs w:val="1"/>
          <w:color w:val="auto"/>
        </w:rPr>
        <w:t>Free cash flow is calculated by taking cash flows provided by operating activities less expenditures for property, plant, and equipment and less cash flows from our Master Accounts Receivable Purchasing Agreement (MARPA Facility) for the sale of certain designated eligible U.S. government receivables. Under the MARPA Facility, the Company can sell eligible receivables up to a maximum amount of $300 million. Transaction-adjusted free cash flow excludes cash taxes, transaction fees, and other costs related to the divestiture of the logistics and supply chain management business from free cash flow as previously defined. We believe that free cash flow and transaction-adjusted free cash flow provides management and investors with useful information in assessing trends in our cash flows and in comparing them to other peer companies, many of whom present similar non-GAAP liquidity measures. These measures should not be considered as a measure of residual cash flow available for discretionary purposes.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Non-GAAP measure, see above for definition.</w:t>
      </w:r>
    </w:p>
    <w:p>
      <w:pPr>
        <w:sectPr>
          <w:pgSz w:w="11900" w:h="16838" w:orient="portrait"/>
          <w:cols w:equalWidth="0" w:num="1">
            <w:col w:w="11240"/>
          </w:cols>
          <w:pgMar w:left="320" w:top="1066"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HISTORICAL FINANCIAL MEASURES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Effective February 3, 2024, the first day of fiscal 2025, SAIC completed a business reorganization which replaced its previous two operating sectors with five customer facing business groups supported by the enterprise organizations, including the Innovation Factory. The five business groups represent SAIC's operating segments and have been aggregated into two reportable segments (Defense and Intelligence, and Civilian) given the similarity in economic and qualitative characteristics, and based on the nature of the customers they serve.</w:t>
      </w:r>
    </w:p>
    <w:p>
      <w:pPr>
        <w:spacing w:after="0" w:line="13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Defense and Intelligence segment provides a diverse portfolio of national security solutions to the defense and intelligence departments and agencies of the United States Government.</w:t>
      </w:r>
    </w:p>
    <w:p>
      <w:pPr>
        <w:spacing w:after="0" w:line="12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Civilian segment provides solutions to the civilian markets, encompassing federal, state, and local governments, in order to deliver services for citizen well-being and protecting lives. This includes integrating solutions into a spectrum of public service missions that impact travel, trade, health and the economy.</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prepared unaudited historical consolidated financial information based on the new reporting structure set forth below, which includes certain non-GAAP measures. Management believes that these non-GAAP measures provide another representation of the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Historical Financial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for fiscal 2024 and twelve months ended fiscal 2023 under the new segment structure (in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6"/>
                <w:szCs w:val="16"/>
                <w:b w:val="1"/>
                <w:bCs w:val="1"/>
                <w:color w:val="auto"/>
              </w:rPr>
              <w:t>Twelve Months Ended</w:t>
            </w:r>
          </w:p>
        </w:tc>
      </w:tr>
      <w:tr>
        <w:trPr>
          <w:trHeight w:val="146"/>
        </w:trPr>
        <w:tc>
          <w:tcPr>
            <w:tcW w:w="2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May 5,</w:t>
            </w:r>
          </w:p>
        </w:tc>
        <w:tc>
          <w:tcPr>
            <w:tcW w:w="40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Arial" w:cs="Arial" w:eastAsia="Arial" w:hAnsi="Arial"/>
                <w:sz w:val="14"/>
                <w:szCs w:val="14"/>
                <w:color w:val="auto"/>
              </w:rPr>
              <w:t>August 4,</w:t>
            </w:r>
          </w:p>
        </w:tc>
        <w:tc>
          <w:tcPr>
            <w:tcW w:w="36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Arial" w:cs="Arial" w:eastAsia="Arial" w:hAnsi="Arial"/>
                <w:sz w:val="14"/>
                <w:szCs w:val="14"/>
                <w:color w:val="auto"/>
              </w:rPr>
              <w:t>November 3,</w:t>
            </w:r>
          </w:p>
        </w:tc>
        <w:tc>
          <w:tcPr>
            <w:tcW w:w="420" w:type="dxa"/>
            <w:vAlign w:val="bottom"/>
          </w:tcPr>
          <w:p>
            <w:pPr>
              <w:spacing w:after="0"/>
              <w:rPr>
                <w:sz w:val="12"/>
                <w:szCs w:val="12"/>
                <w:color w:val="auto"/>
              </w:rPr>
            </w:pPr>
          </w:p>
        </w:tc>
        <w:tc>
          <w:tcPr>
            <w:tcW w:w="10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February 2,</w:t>
            </w:r>
          </w:p>
        </w:tc>
        <w:tc>
          <w:tcPr>
            <w:tcW w:w="340" w:type="dxa"/>
            <w:vAlign w:val="bottom"/>
          </w:tcPr>
          <w:p>
            <w:pPr>
              <w:spacing w:after="0"/>
              <w:rPr>
                <w:sz w:val="12"/>
                <w:szCs w:val="12"/>
                <w:color w:val="auto"/>
              </w:rPr>
            </w:pPr>
          </w:p>
        </w:tc>
        <w:tc>
          <w:tcPr>
            <w:tcW w:w="1060" w:type="dxa"/>
            <w:vAlign w:val="bottom"/>
          </w:tcPr>
          <w:p>
            <w:pPr>
              <w:jc w:val="right"/>
              <w:spacing w:after="0" w:line="147" w:lineRule="exact"/>
              <w:rPr>
                <w:sz w:val="20"/>
                <w:szCs w:val="20"/>
                <w:color w:val="auto"/>
              </w:rPr>
            </w:pPr>
            <w:r>
              <w:rPr>
                <w:rFonts w:ascii="Arial" w:cs="Arial" w:eastAsia="Arial" w:hAnsi="Arial"/>
                <w:sz w:val="14"/>
                <w:szCs w:val="14"/>
                <w:color w:val="auto"/>
              </w:rPr>
              <w:t>February 2,</w:t>
            </w:r>
          </w:p>
        </w:tc>
        <w:tc>
          <w:tcPr>
            <w:tcW w:w="4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4"/>
                <w:szCs w:val="14"/>
                <w:color w:val="auto"/>
              </w:rPr>
              <w:t>February 3,</w:t>
            </w:r>
          </w:p>
        </w:tc>
      </w:tr>
      <w:tr>
        <w:trPr>
          <w:trHeight w:val="185"/>
        </w:trPr>
        <w:tc>
          <w:tcPr>
            <w:tcW w:w="2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Defense and Intelligence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1,597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1,389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1,479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5,817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w:t>
            </w:r>
          </w:p>
        </w:tc>
      </w:tr>
      <w:tr>
        <w:trPr>
          <w:trHeight w:val="230"/>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Civilian</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431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395</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416</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1,627</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r>
      <w:tr>
        <w:trPr>
          <w:trHeight w:val="248"/>
        </w:trPr>
        <w:tc>
          <w:tcPr>
            <w:tcW w:w="2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2,028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1,784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1,895</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1,737</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7,444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7,704</w:t>
            </w:r>
          </w:p>
        </w:tc>
      </w:tr>
      <w:tr>
        <w:trPr>
          <w:trHeight w:val="20"/>
        </w:trPr>
        <w:tc>
          <w:tcPr>
            <w:tcW w:w="26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table presents operating income for fiscal 2024 and twelve months ended fiscal 2023 under the new segment structure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color w:val="auto"/>
              </w:rPr>
              <w:t>May 5,</w:t>
            </w:r>
          </w:p>
        </w:tc>
        <w:tc>
          <w:tcPr>
            <w:tcW w:w="44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Arial" w:cs="Arial" w:eastAsia="Arial" w:hAnsi="Arial"/>
                <w:sz w:val="14"/>
                <w:szCs w:val="14"/>
                <w:color w:val="auto"/>
              </w:rPr>
              <w:t>August 4,</w:t>
            </w:r>
          </w:p>
        </w:tc>
        <w:tc>
          <w:tcPr>
            <w:tcW w:w="40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Arial" w:cs="Arial" w:eastAsia="Arial" w:hAnsi="Arial"/>
                <w:sz w:val="14"/>
                <w:szCs w:val="14"/>
                <w:color w:val="auto"/>
              </w:rPr>
              <w:t>November 3,</w:t>
            </w:r>
          </w:p>
        </w:tc>
        <w:tc>
          <w:tcPr>
            <w:tcW w:w="420" w:type="dxa"/>
            <w:vAlign w:val="bottom"/>
          </w:tcPr>
          <w:p>
            <w:pPr>
              <w:spacing w:after="0"/>
              <w:rPr>
                <w:sz w:val="12"/>
                <w:szCs w:val="12"/>
                <w:color w:val="auto"/>
              </w:rPr>
            </w:pPr>
          </w:p>
        </w:tc>
        <w:tc>
          <w:tcPr>
            <w:tcW w:w="11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February 2,</w:t>
            </w:r>
          </w:p>
        </w:tc>
        <w:tc>
          <w:tcPr>
            <w:tcW w:w="360" w:type="dxa"/>
            <w:vAlign w:val="bottom"/>
          </w:tcPr>
          <w:p>
            <w:pPr>
              <w:spacing w:after="0"/>
              <w:rPr>
                <w:sz w:val="12"/>
                <w:szCs w:val="12"/>
                <w:color w:val="auto"/>
              </w:rPr>
            </w:pPr>
          </w:p>
        </w:tc>
        <w:tc>
          <w:tcPr>
            <w:tcW w:w="1060" w:type="dxa"/>
            <w:vAlign w:val="bottom"/>
          </w:tcPr>
          <w:p>
            <w:pPr>
              <w:jc w:val="right"/>
              <w:spacing w:after="0" w:line="147" w:lineRule="exact"/>
              <w:rPr>
                <w:sz w:val="20"/>
                <w:szCs w:val="20"/>
                <w:color w:val="auto"/>
              </w:rPr>
            </w:pPr>
            <w:r>
              <w:rPr>
                <w:rFonts w:ascii="Arial" w:cs="Arial" w:eastAsia="Arial" w:hAnsi="Arial"/>
                <w:sz w:val="14"/>
                <w:szCs w:val="14"/>
                <w:color w:val="auto"/>
              </w:rPr>
              <w:t>February 2,</w:t>
            </w:r>
          </w:p>
        </w:tc>
        <w:tc>
          <w:tcPr>
            <w:tcW w:w="4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Arial" w:cs="Arial" w:eastAsia="Arial" w:hAnsi="Arial"/>
                <w:sz w:val="14"/>
                <w:szCs w:val="14"/>
                <w:color w:val="auto"/>
              </w:rPr>
              <w:t>February 3,</w:t>
            </w: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Defense and Intelligence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436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Civilian</w:t>
            </w:r>
          </w:p>
        </w:tc>
        <w:tc>
          <w:tcPr>
            <w:tcW w:w="480" w:type="dxa"/>
            <w:vAlign w:val="bottom"/>
          </w:tcPr>
          <w:p>
            <w:pPr>
              <w:spacing w:after="0"/>
              <w:rPr>
                <w:sz w:val="19"/>
                <w:szCs w:val="19"/>
                <w:color w:val="auto"/>
              </w:rPr>
            </w:pP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9"/>
                <w:szCs w:val="19"/>
                <w:color w:val="auto"/>
              </w:rPr>
            </w:pPr>
          </w:p>
        </w:tc>
        <w:tc>
          <w:tcPr>
            <w:tcW w:w="1040" w:type="dxa"/>
            <w:vAlign w:val="bottom"/>
          </w:tcPr>
          <w:p>
            <w:pPr>
              <w:jc w:val="right"/>
              <w:ind w:right="195"/>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9"/>
                <w:szCs w:val="19"/>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158</w:t>
            </w:r>
          </w:p>
        </w:tc>
        <w:tc>
          <w:tcPr>
            <w:tcW w:w="420" w:type="dxa"/>
            <w:vAlign w:val="bottom"/>
          </w:tcPr>
          <w:p>
            <w:pPr>
              <w:spacing w:after="0"/>
              <w:rPr>
                <w:sz w:val="19"/>
                <w:szCs w:val="19"/>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213</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(17)</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147</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157</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362</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143</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741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501</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Operating income margin</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Defense and Intelligence</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Arial" w:cs="Arial" w:eastAsia="Arial" w:hAnsi="Arial"/>
                <w:sz w:val="18"/>
                <w:szCs w:val="18"/>
                <w:color w:val="auto"/>
              </w:rPr>
              <w:t>Civilian</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9.7 %</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10.9 %</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13.0 %</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9.7 %</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Total operating income</w:t>
            </w:r>
          </w:p>
        </w:tc>
        <w:tc>
          <w:tcPr>
            <w:tcW w:w="4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4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4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4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margin</w:t>
            </w:r>
          </w:p>
        </w:tc>
        <w:tc>
          <w:tcPr>
            <w:tcW w:w="4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18" w:name="page19"/>
    <w:bookmarkEnd w:id="18"/>
    <w:p>
      <w:pPr>
        <w:ind w:right="60"/>
        <w:spacing w:after="0" w:line="287" w:lineRule="auto"/>
        <w:rPr>
          <w:sz w:val="20"/>
          <w:szCs w:val="20"/>
          <w:color w:val="auto"/>
        </w:rPr>
      </w:pPr>
      <w:r>
        <w:rPr>
          <w:rFonts w:ascii="Arial" w:cs="Arial" w:eastAsia="Arial" w:hAnsi="Arial"/>
          <w:sz w:val="18"/>
          <w:szCs w:val="18"/>
          <w:color w:val="auto"/>
        </w:rPr>
        <w:t>The following tables present the reconciliation of operating income by reportable segment to non-GAAP operating income for fiscal 2024 and twelve months ended fiscal 2023 under the new segment structure (in millions):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Three Months Ended May 5,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Restructuring and</w:t>
            </w: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Amortization of</w:t>
            </w: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(Gain) loss on</w:t>
            </w:r>
          </w:p>
        </w:tc>
        <w:tc>
          <w:tcPr>
            <w:tcW w:w="5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Non-GAAP operating</w:t>
            </w:r>
          </w:p>
        </w:tc>
        <w:tc>
          <w:tcPr>
            <w:tcW w:w="0" w:type="dxa"/>
            <w:vAlign w:val="bottom"/>
          </w:tcPr>
          <w:p>
            <w:pPr>
              <w:spacing w:after="0"/>
              <w:rPr>
                <w:sz w:val="1"/>
                <w:szCs w:val="1"/>
                <w:color w:val="auto"/>
              </w:rPr>
            </w:pPr>
          </w:p>
        </w:tc>
      </w:tr>
      <w:tr>
        <w:trPr>
          <w:trHeight w:val="121"/>
        </w:trPr>
        <w:tc>
          <w:tcPr>
            <w:tcW w:w="2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GAAP results</w:t>
            </w:r>
          </w:p>
        </w:tc>
        <w:tc>
          <w:tcPr>
            <w:tcW w:w="2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3"/>
                <w:szCs w:val="13"/>
                <w:color w:val="auto"/>
              </w:rPr>
              <w:t>divestitures, net of</w:t>
            </w:r>
          </w:p>
        </w:tc>
        <w:tc>
          <w:tcPr>
            <w:tcW w:w="1520" w:type="dxa"/>
            <w:vAlign w:val="bottom"/>
            <w:gridSpan w:val="2"/>
            <w:vMerge w:val="restart"/>
          </w:tcPr>
          <w:p>
            <w:pPr>
              <w:jc w:val="right"/>
              <w:ind w:right="70"/>
              <w:spacing w:after="0"/>
              <w:rPr>
                <w:sz w:val="20"/>
                <w:szCs w:val="20"/>
                <w:color w:val="auto"/>
              </w:rPr>
            </w:pPr>
            <w:r>
              <w:rPr>
                <w:rFonts w:ascii="Arial" w:cs="Arial" w:eastAsia="Arial" w:hAnsi="Arial"/>
                <w:sz w:val="13"/>
                <w:szCs w:val="13"/>
                <w:b w:val="1"/>
                <w:bCs w:val="1"/>
                <w:color w:val="auto"/>
              </w:rPr>
              <w:t>Non-GAAP results</w:t>
            </w:r>
            <w:r>
              <w:rPr>
                <w:rFonts w:ascii="Arial" w:cs="Arial" w:eastAsia="Arial" w:hAnsi="Arial"/>
                <w:sz w:val="16"/>
                <w:szCs w:val="16"/>
                <w:b w:val="1"/>
                <w:bCs w:val="1"/>
                <w:color w:val="auto"/>
                <w:vertAlign w:val="superscript"/>
              </w:rPr>
              <w:t>(1)</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intangible assets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transaction costs</w:t>
            </w:r>
          </w:p>
        </w:tc>
        <w:tc>
          <w:tcPr>
            <w:tcW w:w="1520" w:type="dxa"/>
            <w:vAlign w:val="bottom"/>
            <w:tcBorders>
              <w:bottom w:val="single" w:sz="8" w:color="auto"/>
            </w:tcBorders>
            <w:gridSpan w:val="2"/>
            <w:vMerge w:val="continue"/>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margin</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Defense and Intelligence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Civilian</w:t>
            </w: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42</w:t>
            </w:r>
          </w:p>
        </w:tc>
        <w:tc>
          <w:tcPr>
            <w:tcW w:w="2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54</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12.5 %</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(6)</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157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(6)</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8.9 %</w:t>
            </w:r>
          </w:p>
        </w:tc>
        <w:tc>
          <w:tcPr>
            <w:tcW w:w="0" w:type="dxa"/>
            <w:vAlign w:val="bottom"/>
          </w:tcPr>
          <w:p>
            <w:pPr>
              <w:spacing w:after="0"/>
              <w:rPr>
                <w:sz w:val="1"/>
                <w:szCs w:val="1"/>
                <w:color w:val="auto"/>
              </w:rPr>
            </w:pPr>
          </w:p>
        </w:tc>
      </w:tr>
      <w:tr>
        <w:trPr>
          <w:trHeight w:val="21"/>
        </w:trPr>
        <w:tc>
          <w:tcPr>
            <w:tcW w:w="2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Three Months Ended August 4,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Acquisition and</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5"/>
              </w:rPr>
              <w:t>Restructuring and</w:t>
            </w: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Amortization of</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(Gain) loss on</w:t>
            </w: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3"/>
                <w:szCs w:val="13"/>
                <w:b w:val="1"/>
                <w:bCs w:val="1"/>
                <w:color w:val="auto"/>
              </w:rPr>
              <w:t>Non-GAAP</w:t>
            </w: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Non-GAAP operating</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GAAP results</w:t>
            </w: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20" w:type="dxa"/>
            <w:vAlign w:val="bottom"/>
            <w:gridSpan w:val="2"/>
          </w:tcPr>
          <w:p>
            <w:pPr>
              <w:jc w:val="right"/>
              <w:spacing w:after="0" w:line="122" w:lineRule="exact"/>
              <w:rPr>
                <w:sz w:val="20"/>
                <w:szCs w:val="20"/>
                <w:color w:val="auto"/>
              </w:rPr>
            </w:pPr>
            <w:r>
              <w:rPr>
                <w:rFonts w:ascii="Arial" w:cs="Arial" w:eastAsia="Arial" w:hAnsi="Arial"/>
                <w:sz w:val="13"/>
                <w:szCs w:val="13"/>
                <w:color w:val="auto"/>
              </w:rPr>
              <w:t>divestitures, net of</w:t>
            </w:r>
          </w:p>
        </w:tc>
        <w:tc>
          <w:tcPr>
            <w:tcW w:w="3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integration costs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impairment costs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intangible assets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transaction costs</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results</w:t>
            </w:r>
            <w:r>
              <w:rPr>
                <w:rFonts w:ascii="Arial" w:cs="Arial" w:eastAsia="Arial" w:hAnsi="Arial"/>
                <w:sz w:val="16"/>
                <w:szCs w:val="16"/>
                <w:b w:val="1"/>
                <w:bCs w:val="1"/>
                <w:color w:val="auto"/>
                <w:vertAlign w:val="superscript"/>
              </w:rPr>
              <w:t>(1)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margin</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Defense and Intelligence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123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8.9 %</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Civilian</w:t>
            </w:r>
          </w:p>
        </w:tc>
        <w:tc>
          <w:tcPr>
            <w:tcW w:w="2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8"/>
                <w:szCs w:val="18"/>
                <w:b w:val="1"/>
                <w:bCs w:val="1"/>
                <w:color w:val="auto"/>
              </w:rPr>
              <w:t>55</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13.9 %</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213</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163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9.1 %</w:t>
            </w:r>
          </w:p>
        </w:tc>
        <w:tc>
          <w:tcPr>
            <w:tcW w:w="0" w:type="dxa"/>
            <w:vAlign w:val="bottom"/>
          </w:tcPr>
          <w:p>
            <w:pPr>
              <w:spacing w:after="0"/>
              <w:rPr>
                <w:sz w:val="1"/>
                <w:szCs w:val="1"/>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Three Months Ended November 3,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5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Restructuring and</w:t>
            </w: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Recovery of</w:t>
            </w:r>
          </w:p>
        </w:tc>
        <w:tc>
          <w:tcPr>
            <w:tcW w:w="3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Amortization of</w:t>
            </w:r>
          </w:p>
        </w:tc>
        <w:tc>
          <w:tcPr>
            <w:tcW w:w="5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Non-GAAP operating</w:t>
            </w:r>
          </w:p>
        </w:tc>
        <w:tc>
          <w:tcPr>
            <w:tcW w:w="0" w:type="dxa"/>
            <w:vAlign w:val="bottom"/>
          </w:tcPr>
          <w:p>
            <w:pPr>
              <w:spacing w:after="0"/>
              <w:rPr>
                <w:sz w:val="1"/>
                <w:szCs w:val="1"/>
                <w:color w:val="auto"/>
              </w:rPr>
            </w:pPr>
          </w:p>
        </w:tc>
      </w:tr>
      <w:tr>
        <w:trPr>
          <w:trHeight w:val="126"/>
        </w:trPr>
        <w:tc>
          <w:tcPr>
            <w:tcW w:w="2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GAAP results</w:t>
            </w:r>
          </w:p>
        </w:tc>
        <w:tc>
          <w:tcPr>
            <w:tcW w:w="2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Arial" w:cs="Arial" w:eastAsia="Arial" w:hAnsi="Arial"/>
                <w:sz w:val="13"/>
                <w:szCs w:val="13"/>
                <w:color w:val="auto"/>
              </w:rPr>
              <w:t>restructuring and</w:t>
            </w:r>
          </w:p>
        </w:tc>
        <w:tc>
          <w:tcPr>
            <w:tcW w:w="3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20" w:type="dxa"/>
            <w:vAlign w:val="bottom"/>
            <w:gridSpan w:val="2"/>
            <w:vMerge w:val="restart"/>
          </w:tcPr>
          <w:p>
            <w:pPr>
              <w:jc w:val="right"/>
              <w:ind w:right="70"/>
              <w:spacing w:after="0"/>
              <w:rPr>
                <w:sz w:val="20"/>
                <w:szCs w:val="20"/>
                <w:color w:val="auto"/>
              </w:rPr>
            </w:pPr>
            <w:r>
              <w:rPr>
                <w:rFonts w:ascii="Arial" w:cs="Arial" w:eastAsia="Arial" w:hAnsi="Arial"/>
                <w:sz w:val="13"/>
                <w:szCs w:val="13"/>
                <w:b w:val="1"/>
                <w:bCs w:val="1"/>
                <w:color w:val="auto"/>
              </w:rPr>
              <w:t>Non-GAAP results</w:t>
            </w:r>
            <w:r>
              <w:rPr>
                <w:rFonts w:ascii="Arial" w:cs="Arial" w:eastAsia="Arial" w:hAnsi="Arial"/>
                <w:sz w:val="16"/>
                <w:szCs w:val="16"/>
                <w:b w:val="1"/>
                <w:bCs w:val="1"/>
                <w:color w:val="auto"/>
                <w:vertAlign w:val="superscript"/>
              </w:rPr>
              <w:t>(1)</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intangible assets</w:t>
            </w:r>
          </w:p>
        </w:tc>
        <w:tc>
          <w:tcPr>
            <w:tcW w:w="1520" w:type="dxa"/>
            <w:vAlign w:val="bottom"/>
            <w:tcBorders>
              <w:bottom w:val="single" w:sz="8" w:color="auto"/>
            </w:tcBorders>
            <w:gridSpan w:val="2"/>
            <w:vMerge w:val="continue"/>
          </w:tcPr>
          <w:p>
            <w:pPr>
              <w:spacing w:after="0"/>
              <w:rPr>
                <w:sz w:val="15"/>
                <w:szCs w:val="15"/>
                <w:color w:val="auto"/>
              </w:rPr>
            </w:pPr>
          </w:p>
        </w:tc>
        <w:tc>
          <w:tcPr>
            <w:tcW w:w="14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rPr>
              <w:t>margin</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Defense and Intelligence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8.2 %</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Civilian</w:t>
            </w: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54</w:t>
            </w:r>
          </w:p>
        </w:tc>
        <w:tc>
          <w:tcPr>
            <w:tcW w:w="2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66</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15.9 %</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143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28</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9.1 %</w:t>
            </w:r>
          </w:p>
        </w:tc>
        <w:tc>
          <w:tcPr>
            <w:tcW w:w="0" w:type="dxa"/>
            <w:vAlign w:val="bottom"/>
          </w:tcPr>
          <w:p>
            <w:pPr>
              <w:spacing w:after="0"/>
              <w:rPr>
                <w:sz w:val="1"/>
                <w:szCs w:val="1"/>
                <w:color w:val="auto"/>
              </w:rPr>
            </w:pPr>
          </w:p>
        </w:tc>
      </w:tr>
      <w:tr>
        <w:trPr>
          <w:trHeight w:val="21"/>
        </w:trPr>
        <w:tc>
          <w:tcPr>
            <w:tcW w:w="2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5"/>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2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February 2, 2024</w:t>
            </w:r>
          </w:p>
        </w:tc>
        <w:tc>
          <w:tcPr>
            <w:tcW w:w="9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Restructuring and</w:t>
            </w:r>
          </w:p>
        </w:tc>
        <w:tc>
          <w:tcPr>
            <w:tcW w:w="300" w:type="dxa"/>
            <w:vAlign w:val="bottom"/>
          </w:tcPr>
          <w:p>
            <w:pPr>
              <w:spacing w:after="0"/>
              <w:rPr>
                <w:sz w:val="10"/>
                <w:szCs w:val="10"/>
                <w:color w:val="auto"/>
              </w:rPr>
            </w:pPr>
          </w:p>
        </w:tc>
        <w:tc>
          <w:tcPr>
            <w:tcW w:w="1140" w:type="dxa"/>
            <w:vAlign w:val="bottom"/>
          </w:tcPr>
          <w:p>
            <w:pPr>
              <w:jc w:val="right"/>
              <w:spacing w:after="0" w:line="115" w:lineRule="exact"/>
              <w:rPr>
                <w:sz w:val="20"/>
                <w:szCs w:val="20"/>
                <w:color w:val="auto"/>
              </w:rPr>
            </w:pPr>
            <w:r>
              <w:rPr>
                <w:rFonts w:ascii="Arial" w:cs="Arial" w:eastAsia="Arial" w:hAnsi="Arial"/>
                <w:sz w:val="13"/>
                <w:szCs w:val="13"/>
                <w:color w:val="auto"/>
              </w:rPr>
              <w:t>Recovery of</w:t>
            </w:r>
          </w:p>
        </w:tc>
        <w:tc>
          <w:tcPr>
            <w:tcW w:w="30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Amortization of</w:t>
            </w: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Non-GAAP operating</w:t>
            </w: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GAAP results</w:t>
            </w:r>
          </w:p>
        </w:tc>
        <w:tc>
          <w:tcPr>
            <w:tcW w:w="2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Arial" w:cs="Arial" w:eastAsia="Arial" w:hAnsi="Arial"/>
                <w:sz w:val="13"/>
                <w:szCs w:val="13"/>
                <w:color w:val="auto"/>
              </w:rPr>
              <w:t>restructuring and</w:t>
            </w:r>
          </w:p>
        </w:tc>
        <w:tc>
          <w:tcPr>
            <w:tcW w:w="3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20" w:type="dxa"/>
            <w:vAlign w:val="bottom"/>
            <w:gridSpan w:val="2"/>
            <w:vMerge w:val="restart"/>
          </w:tcPr>
          <w:p>
            <w:pPr>
              <w:jc w:val="right"/>
              <w:ind w:right="70"/>
              <w:spacing w:after="0"/>
              <w:rPr>
                <w:sz w:val="20"/>
                <w:szCs w:val="20"/>
                <w:color w:val="auto"/>
              </w:rPr>
            </w:pPr>
            <w:r>
              <w:rPr>
                <w:rFonts w:ascii="Arial" w:cs="Arial" w:eastAsia="Arial" w:hAnsi="Arial"/>
                <w:sz w:val="13"/>
                <w:szCs w:val="13"/>
                <w:b w:val="1"/>
                <w:bCs w:val="1"/>
                <w:color w:val="auto"/>
              </w:rPr>
              <w:t>Non-GAAP results</w:t>
            </w:r>
            <w:r>
              <w:rPr>
                <w:rFonts w:ascii="Arial" w:cs="Arial" w:eastAsia="Arial" w:hAnsi="Arial"/>
                <w:sz w:val="16"/>
                <w:szCs w:val="16"/>
                <w:b w:val="1"/>
                <w:bCs w:val="1"/>
                <w:color w:val="auto"/>
                <w:vertAlign w:val="superscript"/>
              </w:rPr>
              <w:t>(1)</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intangible assets</w:t>
            </w:r>
          </w:p>
        </w:tc>
        <w:tc>
          <w:tcPr>
            <w:tcW w:w="1520" w:type="dxa"/>
            <w:vAlign w:val="bottom"/>
            <w:tcBorders>
              <w:bottom w:val="single" w:sz="8" w:color="auto"/>
            </w:tcBorders>
            <w:gridSpan w:val="2"/>
            <w:vMerge w:val="continue"/>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margin</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Defense and Intelligence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8.7 %</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Civilian</w:t>
            </w: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19</w:t>
            </w:r>
          </w:p>
        </w:tc>
        <w:tc>
          <w:tcPr>
            <w:tcW w:w="2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31</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8.1 %</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79</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15</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29</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6.8 %</w:t>
            </w:r>
          </w:p>
        </w:tc>
        <w:tc>
          <w:tcPr>
            <w:tcW w:w="0" w:type="dxa"/>
            <w:vAlign w:val="bottom"/>
          </w:tcPr>
          <w:p>
            <w:pPr>
              <w:spacing w:after="0"/>
              <w:rPr>
                <w:sz w:val="1"/>
                <w:szCs w:val="1"/>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Non-GAAP measure, see Schedule 6 for information about this measure.</w:t>
      </w:r>
    </w:p>
    <w:p>
      <w:pPr>
        <w:sectPr>
          <w:pgSz w:w="11900" w:h="16838" w:orient="portrait"/>
          <w:cols w:equalWidth="0" w:num="1">
            <w:col w:w="11240"/>
          </w:cols>
          <w:pgMar w:left="320" w:top="890" w:right="339" w:bottom="1440" w:gutter="0" w:footer="0" w:header="0"/>
        </w:sectPr>
      </w:pPr>
    </w:p>
    <w:bookmarkStart w:id="19" w:name="page20"/>
    <w:bookmarkEnd w:id="19"/>
    <w:p>
      <w:pPr>
        <w:ind w:left="5100"/>
        <w:spacing w:after="0"/>
        <w:rPr>
          <w:sz w:val="20"/>
          <w:szCs w:val="20"/>
          <w:color w:val="auto"/>
        </w:rPr>
      </w:pPr>
      <w:r>
        <w:rPr>
          <w:rFonts w:ascii="Arial" w:cs="Arial" w:eastAsia="Arial" w:hAnsi="Arial"/>
          <w:sz w:val="16"/>
          <w:szCs w:val="16"/>
          <w:b w:val="1"/>
          <w:bCs w:val="1"/>
          <w:color w:val="auto"/>
        </w:rPr>
        <w:t>Twelve Months Ended February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20955</wp:posOffset>
            </wp:positionV>
            <wp:extent cx="5888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p>
      <w:pPr>
        <w:spacing w:after="0" w:line="18" w:lineRule="exact"/>
        <w:rPr>
          <w:sz w:val="20"/>
          <w:szCs w:val="20"/>
          <w:color w:val="auto"/>
        </w:rPr>
      </w:pPr>
    </w:p>
    <w:tbl>
      <w:tblPr>
        <w:tblLayout w:type="fixed"/>
        <w:tblInd w:w="210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40" w:type="dxa"/>
            <w:vAlign w:val="bottom"/>
          </w:tcPr>
          <w:p>
            <w:pPr>
              <w:jc w:val="right"/>
              <w:ind w:right="17"/>
              <w:spacing w:after="0"/>
              <w:rPr>
                <w:sz w:val="20"/>
                <w:szCs w:val="20"/>
                <w:color w:val="auto"/>
              </w:rPr>
            </w:pPr>
            <w:r>
              <w:rPr>
                <w:rFonts w:ascii="Arial" w:cs="Arial" w:eastAsia="Arial" w:hAnsi="Arial"/>
                <w:sz w:val="13"/>
                <w:szCs w:val="13"/>
                <w:color w:val="auto"/>
              </w:rPr>
              <w:t>Recovery of</w:t>
            </w: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40" w:type="dxa"/>
            <w:vAlign w:val="bottom"/>
          </w:tcPr>
          <w:p>
            <w:pPr>
              <w:jc w:val="right"/>
              <w:ind w:right="17"/>
              <w:spacing w:after="0" w:line="131" w:lineRule="exact"/>
              <w:rPr>
                <w:sz w:val="20"/>
                <w:szCs w:val="20"/>
                <w:color w:val="auto"/>
              </w:rPr>
            </w:pPr>
            <w:r>
              <w:rPr>
                <w:rFonts w:ascii="Arial" w:cs="Arial" w:eastAsia="Arial" w:hAnsi="Arial"/>
                <w:sz w:val="13"/>
                <w:szCs w:val="13"/>
                <w:color w:val="auto"/>
              </w:rPr>
              <w:t>acquisition and</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980" w:type="dxa"/>
            <w:vAlign w:val="bottom"/>
            <w:vMerge w:val="restart"/>
          </w:tcPr>
          <w:p>
            <w:pPr>
              <w:jc w:val="right"/>
              <w:ind w:right="37"/>
              <w:spacing w:after="0"/>
              <w:rPr>
                <w:sz w:val="20"/>
                <w:szCs w:val="20"/>
                <w:color w:val="auto"/>
              </w:rPr>
            </w:pPr>
            <w:r>
              <w:rPr>
                <w:rFonts w:ascii="Arial" w:cs="Arial" w:eastAsia="Arial" w:hAnsi="Arial"/>
                <w:sz w:val="13"/>
                <w:szCs w:val="13"/>
                <w:color w:val="auto"/>
              </w:rPr>
              <w:t>Acquisition and</w:t>
            </w:r>
          </w:p>
        </w:tc>
        <w:tc>
          <w:tcPr>
            <w:tcW w:w="1180" w:type="dxa"/>
            <w:vAlign w:val="bottom"/>
            <w:vMerge w:val="restart"/>
          </w:tcPr>
          <w:p>
            <w:pPr>
              <w:jc w:val="right"/>
              <w:ind w:right="17"/>
              <w:spacing w:after="0"/>
              <w:rPr>
                <w:sz w:val="20"/>
                <w:szCs w:val="20"/>
                <w:color w:val="auto"/>
              </w:rPr>
            </w:pPr>
            <w:r>
              <w:rPr>
                <w:rFonts w:ascii="Arial" w:cs="Arial" w:eastAsia="Arial" w:hAnsi="Arial"/>
                <w:sz w:val="13"/>
                <w:szCs w:val="13"/>
                <w:color w:val="auto"/>
              </w:rPr>
              <w:t>Restructuring and</w:t>
            </w:r>
          </w:p>
        </w:tc>
        <w:tc>
          <w:tcPr>
            <w:tcW w:w="1340" w:type="dxa"/>
            <w:vAlign w:val="bottom"/>
          </w:tcPr>
          <w:p>
            <w:pPr>
              <w:jc w:val="right"/>
              <w:ind w:right="17"/>
              <w:spacing w:after="0" w:line="126" w:lineRule="exact"/>
              <w:rPr>
                <w:sz w:val="20"/>
                <w:szCs w:val="20"/>
                <w:color w:val="auto"/>
              </w:rPr>
            </w:pPr>
            <w:r>
              <w:rPr>
                <w:rFonts w:ascii="Arial" w:cs="Arial" w:eastAsia="Arial" w:hAnsi="Arial"/>
                <w:sz w:val="13"/>
                <w:szCs w:val="13"/>
                <w:color w:val="auto"/>
              </w:rPr>
              <w:t>integration costs and</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Amortization of</w:t>
            </w:r>
          </w:p>
        </w:tc>
        <w:tc>
          <w:tcPr>
            <w:tcW w:w="1100" w:type="dxa"/>
            <w:vAlign w:val="bottom"/>
          </w:tcPr>
          <w:p>
            <w:pPr>
              <w:jc w:val="right"/>
              <w:spacing w:after="0" w:line="126" w:lineRule="exact"/>
              <w:rPr>
                <w:sz w:val="20"/>
                <w:szCs w:val="20"/>
                <w:color w:val="auto"/>
              </w:rPr>
            </w:pPr>
            <w:r>
              <w:rPr>
                <w:rFonts w:ascii="Arial" w:cs="Arial" w:eastAsia="Arial" w:hAnsi="Arial"/>
                <w:sz w:val="13"/>
                <w:szCs w:val="13"/>
                <w:color w:val="auto"/>
              </w:rPr>
              <w:t>(Gain) loss on</w:t>
            </w:r>
          </w:p>
        </w:tc>
        <w:tc>
          <w:tcPr>
            <w:tcW w:w="0" w:type="dxa"/>
            <w:vAlign w:val="bottom"/>
          </w:tcPr>
          <w:p>
            <w:pPr>
              <w:spacing w:after="0"/>
              <w:rPr>
                <w:sz w:val="1"/>
                <w:szCs w:val="1"/>
                <w:color w:val="auto"/>
              </w:rPr>
            </w:pPr>
          </w:p>
        </w:tc>
      </w:tr>
      <w:tr>
        <w:trPr>
          <w:trHeight w:val="122"/>
        </w:trPr>
        <w:tc>
          <w:tcPr>
            <w:tcW w:w="19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3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restructuring and</w:t>
            </w:r>
          </w:p>
        </w:tc>
        <w:tc>
          <w:tcPr>
            <w:tcW w:w="1100" w:type="dxa"/>
            <w:vAlign w:val="bottom"/>
            <w:vMerge w:val="continue"/>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3"/>
                <w:szCs w:val="13"/>
                <w:color w:val="auto"/>
              </w:rPr>
              <w:t>divestitures, net of</w:t>
            </w:r>
          </w:p>
        </w:tc>
        <w:tc>
          <w:tcPr>
            <w:tcW w:w="0" w:type="dxa"/>
            <w:vAlign w:val="bottom"/>
          </w:tcPr>
          <w:p>
            <w:pPr>
              <w:spacing w:after="0"/>
              <w:rPr>
                <w:sz w:val="1"/>
                <w:szCs w:val="1"/>
                <w:color w:val="auto"/>
              </w:rPr>
            </w:pPr>
          </w:p>
        </w:tc>
      </w:tr>
      <w:tr>
        <w:trPr>
          <w:trHeight w:val="181"/>
        </w:trPr>
        <w:tc>
          <w:tcPr>
            <w:tcW w:w="1980" w:type="dxa"/>
            <w:vAlign w:val="bottom"/>
          </w:tcPr>
          <w:p>
            <w:pPr>
              <w:jc w:val="right"/>
              <w:ind w:right="37"/>
              <w:spacing w:after="0"/>
              <w:rPr>
                <w:sz w:val="20"/>
                <w:szCs w:val="20"/>
                <w:color w:val="auto"/>
              </w:rPr>
            </w:pPr>
            <w:r>
              <w:rPr>
                <w:rFonts w:ascii="Arial" w:cs="Arial" w:eastAsia="Arial" w:hAnsi="Arial"/>
                <w:sz w:val="13"/>
                <w:szCs w:val="13"/>
                <w:b w:val="1"/>
                <w:bCs w:val="1"/>
                <w:color w:val="auto"/>
              </w:rPr>
              <w:t xml:space="preserve">GAAP results  </w:t>
            </w:r>
            <w:r>
              <w:rPr>
                <w:rFonts w:ascii="Arial" w:cs="Arial" w:eastAsia="Arial" w:hAnsi="Arial"/>
                <w:sz w:val="13"/>
                <w:szCs w:val="13"/>
                <w:color w:val="auto"/>
              </w:rPr>
              <w:t>integration costs</w:t>
            </w: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impairment costs</w:t>
            </w:r>
          </w:p>
        </w:tc>
        <w:tc>
          <w:tcPr>
            <w:tcW w:w="1340" w:type="dxa"/>
            <w:vAlign w:val="bottom"/>
          </w:tcPr>
          <w:p>
            <w:pPr>
              <w:jc w:val="right"/>
              <w:ind w:right="17"/>
              <w:spacing w:after="0"/>
              <w:rPr>
                <w:sz w:val="20"/>
                <w:szCs w:val="20"/>
                <w:color w:val="auto"/>
              </w:rPr>
            </w:pPr>
            <w:r>
              <w:rPr>
                <w:rFonts w:ascii="Arial" w:cs="Arial" w:eastAsia="Arial" w:hAnsi="Arial"/>
                <w:sz w:val="13"/>
                <w:szCs w:val="13"/>
                <w:color w:val="auto"/>
              </w:rPr>
              <w:t>impairment costs</w:t>
            </w:r>
          </w:p>
        </w:tc>
        <w:tc>
          <w:tcPr>
            <w:tcW w:w="1100" w:type="dxa"/>
            <w:vAlign w:val="bottom"/>
          </w:tcPr>
          <w:p>
            <w:pPr>
              <w:jc w:val="right"/>
              <w:spacing w:after="0"/>
              <w:rPr>
                <w:sz w:val="20"/>
                <w:szCs w:val="20"/>
                <w:color w:val="auto"/>
              </w:rPr>
            </w:pPr>
            <w:r>
              <w:rPr>
                <w:rFonts w:ascii="Arial" w:cs="Arial" w:eastAsia="Arial" w:hAnsi="Arial"/>
                <w:sz w:val="13"/>
                <w:szCs w:val="13"/>
                <w:color w:val="auto"/>
              </w:rPr>
              <w:t>intangible assets</w:t>
            </w:r>
          </w:p>
        </w:tc>
        <w:tc>
          <w:tcPr>
            <w:tcW w:w="1100" w:type="dxa"/>
            <w:vAlign w:val="bottom"/>
          </w:tcPr>
          <w:p>
            <w:pPr>
              <w:jc w:val="right"/>
              <w:spacing w:after="0"/>
              <w:rPr>
                <w:sz w:val="20"/>
                <w:szCs w:val="20"/>
                <w:color w:val="auto"/>
              </w:rPr>
            </w:pPr>
            <w:r>
              <w:rPr>
                <w:rFonts w:ascii="Arial" w:cs="Arial" w:eastAsia="Arial" w:hAnsi="Arial"/>
                <w:sz w:val="13"/>
                <w:szCs w:val="13"/>
                <w:color w:val="auto"/>
              </w:rPr>
              <w:t>transaction costs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w w:val="95"/>
              </w:rPr>
              <w:t>Non-GAAP</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Non-GAAP</w:t>
            </w:r>
          </w:p>
        </w:tc>
      </w:tr>
      <w:tr>
        <w:trPr>
          <w:trHeight w:val="189"/>
        </w:trPr>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results</w:t>
            </w:r>
            <w:r>
              <w:rPr>
                <w:rFonts w:ascii="Arial" w:cs="Arial" w:eastAsia="Arial" w:hAnsi="Arial"/>
                <w:sz w:val="16"/>
                <w:szCs w:val="16"/>
                <w:b w:val="1"/>
                <w:bCs w:val="1"/>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operating margin</w:t>
            </w:r>
            <w:r>
              <w:rPr>
                <w:rFonts w:ascii="Arial" w:cs="Arial" w:eastAsia="Arial" w:hAnsi="Arial"/>
                <w:sz w:val="16"/>
                <w:szCs w:val="16"/>
                <w:b w:val="1"/>
                <w:bCs w:val="1"/>
                <w:color w:val="auto"/>
                <w:vertAlign w:val="superscript"/>
              </w:rPr>
              <w:t>(1)</w:t>
            </w:r>
          </w:p>
        </w:tc>
      </w:tr>
    </w:tbl>
    <w:p>
      <w:pPr>
        <w:spacing w:after="0" w:line="1" w:lineRule="exact"/>
        <w:rPr>
          <w:sz w:val="20"/>
          <w:szCs w:val="20"/>
          <w:color w:val="auto"/>
        </w:rPr>
      </w:pPr>
    </w:p>
    <w:p>
      <w:pPr>
        <w:sectPr>
          <w:pgSz w:w="11900" w:h="16838" w:orient="portrait"/>
          <w:cols w:equalWidth="0" w:num="2">
            <w:col w:w="8800" w:space="460"/>
            <w:col w:w="1980"/>
          </w:cols>
          <w:pgMar w:left="320" w:top="935"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6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Defense and</w:t>
            </w:r>
          </w:p>
        </w:tc>
        <w:tc>
          <w:tcPr>
            <w:tcW w:w="70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w:t>
            </w:r>
          </w:p>
        </w:tc>
        <w:tc>
          <w:tcPr>
            <w:tcW w:w="50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vMerge w:val="restart"/>
            <w:shd w:val="clear" w:color="auto" w:fill="CCEEFF"/>
          </w:tcPr>
          <w:p>
            <w:pPr>
              <w:ind w:left="260"/>
              <w:spacing w:after="0"/>
              <w:rPr>
                <w:sz w:val="20"/>
                <w:szCs w:val="20"/>
                <w:color w:val="auto"/>
              </w:rPr>
            </w:pPr>
            <w:r>
              <w:rPr>
                <w:rFonts w:ascii="Arial" w:cs="Arial" w:eastAsia="Arial" w:hAnsi="Arial"/>
                <w:sz w:val="18"/>
                <w:szCs w:val="18"/>
                <w:b w:val="1"/>
                <w:bCs w:val="1"/>
                <w:color w:val="auto"/>
              </w:rPr>
              <w:t>503</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8.6 %</w:t>
            </w: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Intelligence</w:t>
            </w:r>
          </w:p>
        </w:tc>
        <w:tc>
          <w:tcPr>
            <w:tcW w:w="700" w:type="dxa"/>
            <w:vAlign w:val="bottom"/>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Civilian</w:t>
            </w:r>
          </w:p>
        </w:tc>
        <w:tc>
          <w:tcPr>
            <w:tcW w:w="70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158</w:t>
            </w:r>
          </w:p>
        </w:tc>
        <w:tc>
          <w:tcPr>
            <w:tcW w:w="50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ind w:left="260"/>
              <w:spacing w:after="0"/>
              <w:rPr>
                <w:sz w:val="20"/>
                <w:szCs w:val="20"/>
                <w:color w:val="auto"/>
              </w:rPr>
            </w:pPr>
            <w:r>
              <w:rPr>
                <w:rFonts w:ascii="Arial" w:cs="Arial" w:eastAsia="Arial" w:hAnsi="Arial"/>
                <w:sz w:val="18"/>
                <w:szCs w:val="18"/>
                <w:b w:val="1"/>
                <w:bCs w:val="1"/>
                <w:color w:val="auto"/>
              </w:rPr>
              <w:t>206</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12.7 %</w:t>
            </w:r>
          </w:p>
        </w:tc>
        <w:tc>
          <w:tcPr>
            <w:tcW w:w="0" w:type="dxa"/>
            <w:vAlign w:val="bottom"/>
          </w:tcPr>
          <w:p>
            <w:pPr>
              <w:spacing w:after="0"/>
              <w:rPr>
                <w:sz w:val="1"/>
                <w:szCs w:val="1"/>
                <w:color w:val="auto"/>
              </w:rPr>
            </w:pPr>
          </w:p>
        </w:tc>
      </w:tr>
      <w:tr>
        <w:trPr>
          <w:trHeight w:val="229"/>
        </w:trPr>
        <w:tc>
          <w:tcPr>
            <w:tcW w:w="1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w:t>
            </w:r>
          </w:p>
        </w:tc>
        <w:tc>
          <w:tcPr>
            <w:tcW w:w="5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(75)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0" w:type="dxa"/>
            <w:vAlign w:val="bottom"/>
          </w:tcPr>
          <w:p>
            <w:pPr>
              <w:spacing w:after="0"/>
              <w:rPr>
                <w:sz w:val="1"/>
                <w:szCs w:val="1"/>
                <w:color w:val="auto"/>
              </w:rPr>
            </w:pPr>
          </w:p>
        </w:tc>
      </w:tr>
      <w:tr>
        <w:trPr>
          <w:trHeight w:val="223"/>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741</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(6)</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634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8.5 %</w:t>
            </w: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Twelve Months Ended February 3,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Recovery of</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3"/>
                <w:szCs w:val="13"/>
                <w:color w:val="auto"/>
              </w:rPr>
              <w:t>acquisition and</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spacing w:after="0" w:line="131" w:lineRule="exact"/>
              <w:rPr>
                <w:sz w:val="20"/>
                <w:szCs w:val="20"/>
                <w:color w:val="auto"/>
              </w:rPr>
            </w:pPr>
            <w:r>
              <w:rPr>
                <w:rFonts w:ascii="Arial" w:cs="Arial" w:eastAsia="Arial" w:hAnsi="Arial"/>
                <w:sz w:val="13"/>
                <w:szCs w:val="13"/>
                <w:color w:val="auto"/>
                <w:w w:val="96"/>
              </w:rPr>
              <w:t>integration costs and</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3"/>
                <w:szCs w:val="13"/>
                <w:b w:val="1"/>
                <w:bCs w:val="1"/>
                <w:color w:val="auto"/>
              </w:rPr>
              <w:t>Non-GAAP</w:t>
            </w:r>
          </w:p>
        </w:tc>
        <w:tc>
          <w:tcPr>
            <w:tcW w:w="1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Non-GAAP</w:t>
            </w: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GAAP results</w:t>
            </w:r>
          </w:p>
        </w:tc>
        <w:tc>
          <w:tcPr>
            <w:tcW w:w="20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Arial" w:cs="Arial" w:eastAsia="Arial" w:hAnsi="Arial"/>
                <w:sz w:val="13"/>
                <w:szCs w:val="13"/>
                <w:color w:val="auto"/>
              </w:rPr>
              <w:t>Acquisition and</w:t>
            </w:r>
          </w:p>
        </w:tc>
        <w:tc>
          <w:tcPr>
            <w:tcW w:w="122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Restructuring and</w:t>
            </w:r>
          </w:p>
        </w:tc>
        <w:tc>
          <w:tcPr>
            <w:tcW w:w="180" w:type="dxa"/>
            <w:vAlign w:val="bottom"/>
          </w:tcPr>
          <w:p>
            <w:pPr>
              <w:spacing w:after="0"/>
              <w:rPr>
                <w:sz w:val="10"/>
                <w:szCs w:val="10"/>
                <w:color w:val="auto"/>
              </w:rPr>
            </w:pPr>
          </w:p>
        </w:tc>
        <w:tc>
          <w:tcPr>
            <w:tcW w:w="1240" w:type="dxa"/>
            <w:vAlign w:val="bottom"/>
          </w:tcPr>
          <w:p>
            <w:pPr>
              <w:jc w:val="right"/>
              <w:spacing w:after="0" w:line="126" w:lineRule="exact"/>
              <w:rPr>
                <w:sz w:val="20"/>
                <w:szCs w:val="20"/>
                <w:color w:val="auto"/>
              </w:rPr>
            </w:pPr>
            <w:r>
              <w:rPr>
                <w:rFonts w:ascii="Arial" w:cs="Arial" w:eastAsia="Arial" w:hAnsi="Arial"/>
                <w:sz w:val="13"/>
                <w:szCs w:val="13"/>
                <w:color w:val="auto"/>
              </w:rPr>
              <w:t>restructuring and</w:t>
            </w:r>
          </w:p>
        </w:tc>
        <w:tc>
          <w:tcPr>
            <w:tcW w:w="180" w:type="dxa"/>
            <w:vAlign w:val="bottom"/>
          </w:tcPr>
          <w:p>
            <w:pPr>
              <w:spacing w:after="0"/>
              <w:rPr>
                <w:sz w:val="10"/>
                <w:szCs w:val="10"/>
                <w:color w:val="auto"/>
              </w:rPr>
            </w:pPr>
          </w:p>
        </w:tc>
        <w:tc>
          <w:tcPr>
            <w:tcW w:w="1040" w:type="dxa"/>
            <w:vAlign w:val="bottom"/>
          </w:tcPr>
          <w:p>
            <w:pPr>
              <w:jc w:val="right"/>
              <w:spacing w:after="0" w:line="126" w:lineRule="exact"/>
              <w:rPr>
                <w:sz w:val="20"/>
                <w:szCs w:val="20"/>
                <w:color w:val="auto"/>
              </w:rPr>
            </w:pPr>
            <w:r>
              <w:rPr>
                <w:rFonts w:ascii="Arial" w:cs="Arial" w:eastAsia="Arial" w:hAnsi="Arial"/>
                <w:sz w:val="13"/>
                <w:szCs w:val="13"/>
                <w:color w:val="auto"/>
              </w:rPr>
              <w:t>Amortization of</w:t>
            </w:r>
          </w:p>
        </w:tc>
        <w:tc>
          <w:tcPr>
            <w:tcW w:w="3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integration costs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impairment costs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intangible assets</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results</w:t>
            </w:r>
            <w:r>
              <w:rPr>
                <w:rFonts w:ascii="Arial" w:cs="Arial" w:eastAsia="Arial" w:hAnsi="Arial"/>
                <w:sz w:val="16"/>
                <w:szCs w:val="16"/>
                <w:b w:val="1"/>
                <w:bCs w:val="1"/>
                <w:color w:val="auto"/>
                <w:vertAlign w:val="superscript"/>
              </w:rPr>
              <w:t>(1)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operating margin</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Defense and Intelligence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center"/>
              <w:ind w:left="315"/>
              <w:spacing w:after="0"/>
              <w:rPr>
                <w:sz w:val="20"/>
                <w:szCs w:val="20"/>
                <w:color w:val="auto"/>
              </w:rPr>
            </w:pPr>
            <w:r>
              <w:rPr>
                <w:rFonts w:ascii="Arial" w:cs="Arial" w:eastAsia="Arial" w:hAnsi="Arial"/>
                <w:sz w:val="18"/>
                <w:szCs w:val="18"/>
                <w:b w:val="1"/>
                <w:bCs w:val="1"/>
                <w:color w:val="auto"/>
                <w:w w:val="99"/>
              </w:rPr>
              <w:t>438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507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8.6 %</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Civilian</w:t>
            </w:r>
          </w:p>
        </w:tc>
        <w:tc>
          <w:tcPr>
            <w:tcW w:w="180" w:type="dxa"/>
            <w:vAlign w:val="bottom"/>
          </w:tcPr>
          <w:p>
            <w:pPr>
              <w:spacing w:after="0"/>
              <w:rPr>
                <w:sz w:val="19"/>
                <w:szCs w:val="19"/>
                <w:color w:val="auto"/>
              </w:rPr>
            </w:pPr>
          </w:p>
        </w:tc>
        <w:tc>
          <w:tcPr>
            <w:tcW w:w="940" w:type="dxa"/>
            <w:vAlign w:val="bottom"/>
          </w:tcPr>
          <w:p>
            <w:pPr>
              <w:jc w:val="center"/>
              <w:ind w:left="315"/>
              <w:spacing w:after="0"/>
              <w:rPr>
                <w:sz w:val="20"/>
                <w:szCs w:val="20"/>
                <w:color w:val="auto"/>
              </w:rPr>
            </w:pPr>
            <w:r>
              <w:rPr>
                <w:rFonts w:ascii="Arial" w:cs="Arial" w:eastAsia="Arial" w:hAnsi="Arial"/>
                <w:sz w:val="18"/>
                <w:szCs w:val="18"/>
                <w:b w:val="1"/>
                <w:bCs w:val="1"/>
                <w:color w:val="auto"/>
                <w:w w:val="99"/>
              </w:rPr>
              <w:t>167</w:t>
            </w:r>
          </w:p>
        </w:tc>
        <w:tc>
          <w:tcPr>
            <w:tcW w:w="2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ind w:right="4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8"/>
                <w:szCs w:val="18"/>
                <w:b w:val="1"/>
                <w:bCs w:val="1"/>
                <w:color w:val="auto"/>
              </w:rPr>
              <w:t>223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12.2 %</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b w:val="1"/>
                <w:bCs w:val="1"/>
                <w:color w:val="auto"/>
                <w:w w:val="99"/>
              </w:rPr>
              <w:t>(104)</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(79)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center"/>
              <w:ind w:left="315"/>
              <w:spacing w:after="0"/>
              <w:rPr>
                <w:sz w:val="20"/>
                <w:szCs w:val="20"/>
                <w:color w:val="auto"/>
              </w:rPr>
            </w:pPr>
            <w:r>
              <w:rPr>
                <w:rFonts w:ascii="Arial" w:cs="Arial" w:eastAsia="Arial" w:hAnsi="Arial"/>
                <w:sz w:val="18"/>
                <w:szCs w:val="18"/>
                <w:b w:val="1"/>
                <w:bCs w:val="1"/>
                <w:color w:val="auto"/>
                <w:w w:val="99"/>
              </w:rPr>
              <w:t>501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b w:val="1"/>
                <w:bCs w:val="1"/>
                <w:color w:val="auto"/>
              </w:rPr>
              <w:t>(12)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125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651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8.5 %</w:t>
            </w:r>
          </w:p>
        </w:tc>
        <w:tc>
          <w:tcPr>
            <w:tcW w:w="0" w:type="dxa"/>
            <w:vAlign w:val="bottom"/>
          </w:tcPr>
          <w:p>
            <w:pPr>
              <w:spacing w:after="0"/>
              <w:rPr>
                <w:sz w:val="1"/>
                <w:szCs w:val="1"/>
                <w:color w:val="auto"/>
              </w:rPr>
            </w:pP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Non-GAAP measure, see Schedule 6 for information about this measure.</w:t>
      </w:r>
    </w:p>
    <w:sectPr>
      <w:pgSz w:w="11900" w:h="16838" w:orient="portrait"/>
      <w:cols w:equalWidth="0" w:num="1">
        <w:col w:w="11240"/>
      </w:cols>
      <w:pgMar w:left="320" w:top="93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2024-06-03T06:00:11Z</dcterms:created>
  <dcterms:modified xsi:type="dcterms:W3CDTF">2024-06-03T06:00:11Z</dcterms:modified>
</cp:coreProperties>
</file>