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516890</wp:posOffset>
            </wp:positionH>
            <wp:positionV relativeFrom="page">
              <wp:posOffset>334645</wp:posOffset>
            </wp:positionV>
            <wp:extent cx="65208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0815" cy="5715"/>
                    </a:xfrm>
                    <a:prstGeom prst="rect">
                      <a:avLst/>
                    </a:prstGeom>
                    <a:noFill/>
                  </pic:spPr>
                </pic:pic>
              </a:graphicData>
            </a:graphic>
          </wp:anchor>
        </w:drawing>
        <w:drawing>
          <wp:anchor simplePos="0" relativeHeight="251657728" behindDoc="1" locked="0" layoutInCell="0" allowOverlap="1">
            <wp:simplePos x="0" y="0"/>
            <wp:positionH relativeFrom="page">
              <wp:posOffset>516890</wp:posOffset>
            </wp:positionH>
            <wp:positionV relativeFrom="page">
              <wp:posOffset>311785</wp:posOffset>
            </wp:positionV>
            <wp:extent cx="65208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20815" cy="571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6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7"/>
          <w:szCs w:val="7"/>
          <w:color w:val="auto"/>
        </w:rPr>
        <w:t>_________________________________________________________</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Form 8-K</w:t>
      </w:r>
    </w:p>
    <w:p>
      <w:pPr>
        <w:spacing w:after="0" w:line="8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7"/>
          <w:szCs w:val="7"/>
          <w:color w:val="auto"/>
        </w:rPr>
        <w:t>_________________________________________________________</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February 11, 2026</w:t>
      </w:r>
    </w:p>
    <w:p>
      <w:pPr>
        <w:spacing w:after="0" w:line="18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7"/>
          <w:szCs w:val="7"/>
          <w:color w:val="auto"/>
        </w:rPr>
        <w:t>_________________________________________________________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8"/>
          <w:szCs w:val="28"/>
          <w:color w:val="auto"/>
        </w:rPr>
        <w:t>Science Applications International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6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7"/>
          <w:szCs w:val="7"/>
          <w:color w:val="auto"/>
        </w:rPr>
        <w:t>_________________________________________________________</w:t>
      </w:r>
    </w:p>
    <w:p>
      <w:pPr>
        <w:sectPr>
          <w:pgSz w:w="11900" w:h="16838" w:orient="portrait"/>
          <w:cols w:equalWidth="0" w:num="1">
            <w:col w:w="11280"/>
          </w:cols>
          <w:pgMar w:left="300" w:top="581" w:right="319" w:bottom="1440" w:gutter="0" w:footer="0" w:header="0"/>
        </w:sectPr>
      </w:pPr>
    </w:p>
    <w:p>
      <w:pPr>
        <w:spacing w:after="0" w:line="42" w:lineRule="exact"/>
        <w:rPr>
          <w:sz w:val="24"/>
          <w:szCs w:val="24"/>
          <w:color w:val="auto"/>
        </w:rPr>
      </w:pPr>
    </w:p>
    <w:p>
      <w:pPr>
        <w:ind w:left="1860"/>
        <w:spacing w:after="0"/>
        <w:rPr>
          <w:sz w:val="20"/>
          <w:szCs w:val="20"/>
          <w:color w:val="auto"/>
        </w:rPr>
      </w:pPr>
      <w:r>
        <w:rPr>
          <w:rFonts w:ascii="Arial" w:cs="Arial" w:eastAsia="Arial" w:hAnsi="Arial"/>
          <w:sz w:val="11"/>
          <w:szCs w:val="11"/>
          <w:color w:val="auto"/>
        </w:rPr>
        <w:t>Delaware</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2220"/>
        <w:spacing w:after="0"/>
        <w:rPr>
          <w:sz w:val="20"/>
          <w:szCs w:val="20"/>
          <w:color w:val="auto"/>
        </w:rPr>
      </w:pPr>
      <w:r>
        <w:rPr>
          <w:rFonts w:ascii="Arial" w:cs="Arial" w:eastAsia="Arial" w:hAnsi="Arial"/>
          <w:sz w:val="11"/>
          <w:szCs w:val="11"/>
          <w:color w:val="auto"/>
        </w:rPr>
        <w:t>001-35832</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1"/>
          <w:szCs w:val="11"/>
          <w:color w:val="auto"/>
        </w:rPr>
        <w:t>46-1932921</w:t>
      </w:r>
    </w:p>
    <w:p>
      <w:pPr>
        <w:spacing w:after="0" w:line="44" w:lineRule="exact"/>
        <w:rPr>
          <w:sz w:val="24"/>
          <w:szCs w:val="24"/>
          <w:color w:val="auto"/>
        </w:rPr>
      </w:pPr>
    </w:p>
    <w:p>
      <w:pPr>
        <w:sectPr>
          <w:pgSz w:w="11900" w:h="16838" w:orient="portrait"/>
          <w:cols w:equalWidth="0" w:num="3">
            <w:col w:w="4740" w:space="720"/>
            <w:col w:w="2780" w:space="720"/>
            <w:col w:w="2320"/>
          </w:cols>
          <w:pgMar w:left="300" w:top="581" w:right="319" w:bottom="1440" w:gutter="0" w:footer="0" w:header="0"/>
          <w:type w:val="continuous"/>
        </w:sectPr>
      </w:pPr>
    </w:p>
    <w:p>
      <w:pPr>
        <w:spacing w:after="0" w:line="6" w:lineRule="exact"/>
        <w:rPr>
          <w:sz w:val="24"/>
          <w:szCs w:val="24"/>
          <w:color w:val="auto"/>
        </w:rPr>
      </w:pPr>
    </w:p>
    <w:p>
      <w:pPr>
        <w:jc w:val="center"/>
        <w:ind w:right="500"/>
        <w:spacing w:after="0"/>
        <w:rPr>
          <w:sz w:val="20"/>
          <w:szCs w:val="20"/>
          <w:color w:val="auto"/>
        </w:rPr>
      </w:pPr>
      <w:r>
        <w:rPr>
          <w:rFonts w:ascii="Arial" w:cs="Arial" w:eastAsia="Arial" w:hAnsi="Arial"/>
          <w:sz w:val="8"/>
          <w:szCs w:val="8"/>
          <w:b w:val="1"/>
          <w:bCs w:val="1"/>
          <w:color w:val="auto"/>
        </w:rPr>
        <w:t>(State or other Jurisdiction</w:t>
      </w:r>
    </w:p>
    <w:p>
      <w:pPr>
        <w:spacing w:after="0" w:line="17" w:lineRule="exact"/>
        <w:rPr>
          <w:sz w:val="24"/>
          <w:szCs w:val="24"/>
          <w:color w:val="auto"/>
        </w:rPr>
      </w:pPr>
    </w:p>
    <w:p>
      <w:pPr>
        <w:jc w:val="center"/>
        <w:ind w:right="50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00"/>
        <w:spacing w:after="0"/>
        <w:rPr>
          <w:sz w:val="20"/>
          <w:szCs w:val="20"/>
          <w:color w:val="auto"/>
        </w:rPr>
      </w:pPr>
      <w:r>
        <w:rPr>
          <w:rFonts w:ascii="Arial" w:cs="Arial" w:eastAsia="Arial" w:hAnsi="Arial"/>
          <w:sz w:val="10"/>
          <w:szCs w:val="10"/>
          <w:b w:val="1"/>
          <w:bCs w:val="1"/>
          <w:color w:val="auto"/>
        </w:rPr>
        <w:t>(IRS Employer</w:t>
      </w:r>
    </w:p>
    <w:p>
      <w:pPr>
        <w:jc w:val="center"/>
        <w:ind w:right="1600"/>
        <w:spacing w:after="0"/>
        <w:rPr>
          <w:sz w:val="20"/>
          <w:szCs w:val="20"/>
          <w:color w:val="auto"/>
        </w:rPr>
      </w:pPr>
      <w:r>
        <w:rPr>
          <w:rFonts w:ascii="Arial" w:cs="Arial" w:eastAsia="Arial" w:hAnsi="Arial"/>
          <w:sz w:val="8"/>
          <w:szCs w:val="8"/>
          <w:b w:val="1"/>
          <w:bCs w:val="1"/>
          <w:color w:val="auto"/>
        </w:rPr>
        <w:t>Identification No.)</w:t>
      </w:r>
    </w:p>
    <w:p>
      <w:pPr>
        <w:spacing w:after="0" w:line="153" w:lineRule="exact"/>
        <w:rPr>
          <w:sz w:val="24"/>
          <w:szCs w:val="24"/>
          <w:color w:val="auto"/>
        </w:rPr>
      </w:pPr>
    </w:p>
    <w:p>
      <w:pPr>
        <w:sectPr>
          <w:pgSz w:w="11900" w:h="16838" w:orient="portrait"/>
          <w:cols w:equalWidth="0" w:num="3">
            <w:col w:w="4720" w:space="720"/>
            <w:col w:w="2720" w:space="720"/>
            <w:col w:w="2400"/>
          </w:cols>
          <w:pgMar w:left="300" w:top="581" w:right="31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12010 Sunset Hills Road, Reston, VA 20190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(Address of Principal Executive Offices) (Zip Code)</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(703) 676-4300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Not Applicable</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(Former name or former address if changed since last report)</w:t>
      </w:r>
    </w:p>
    <w:p>
      <w:pPr>
        <w:sectPr>
          <w:pgSz w:w="11900" w:h="16838" w:orient="portrait"/>
          <w:cols w:equalWidth="0" w:num="1">
            <w:col w:w="11280"/>
          </w:cols>
          <w:pgMar w:left="300" w:top="581" w:right="319" w:bottom="1440" w:gutter="0" w:footer="0" w:header="0"/>
          <w:type w:val="continuous"/>
        </w:sectPr>
      </w:pPr>
    </w:p>
    <w:p>
      <w:pPr>
        <w:spacing w:after="0" w:line="154"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87" w:lineRule="exact"/>
        <w:rPr>
          <w:sz w:val="24"/>
          <w:szCs w:val="24"/>
          <w:color w:val="auto"/>
        </w:rPr>
      </w:pPr>
    </w:p>
    <w:p>
      <w:pPr>
        <w:ind w:left="580" w:hanging="576"/>
        <w:spacing w:after="0"/>
        <w:tabs>
          <w:tab w:leader="none" w:pos="5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96" w:lineRule="exact"/>
        <w:rPr>
          <w:rFonts w:ascii="MS PGothic" w:cs="MS PGothic" w:eastAsia="MS PGothic" w:hAnsi="MS PGothic"/>
          <w:sz w:val="12"/>
          <w:szCs w:val="12"/>
          <w:color w:val="auto"/>
        </w:rPr>
      </w:pPr>
    </w:p>
    <w:p>
      <w:pPr>
        <w:ind w:left="580" w:hanging="576"/>
        <w:spacing w:after="0"/>
        <w:tabs>
          <w:tab w:leader="none" w:pos="5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96" w:lineRule="exact"/>
        <w:rPr>
          <w:rFonts w:ascii="MS PGothic" w:cs="MS PGothic" w:eastAsia="MS PGothic" w:hAnsi="MS PGothic"/>
          <w:sz w:val="12"/>
          <w:szCs w:val="12"/>
          <w:color w:val="auto"/>
        </w:rPr>
      </w:pPr>
    </w:p>
    <w:p>
      <w:pPr>
        <w:ind w:left="580" w:hanging="576"/>
        <w:spacing w:after="0"/>
        <w:tabs>
          <w:tab w:leader="none" w:pos="5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580" w:hanging="576"/>
        <w:spacing w:after="0"/>
        <w:tabs>
          <w:tab w:leader="none" w:pos="5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69" w:lineRule="exact"/>
        <w:rPr>
          <w:sz w:val="24"/>
          <w:szCs w:val="24"/>
          <w:color w:val="auto"/>
        </w:rPr>
      </w:pPr>
    </w:p>
    <w:tbl>
      <w:tblPr>
        <w:tblLayout w:type="fixed"/>
        <w:tblInd w:w="1020" w:type="dxa"/>
        <w:tblCellMar>
          <w:top w:w="0" w:type="dxa"/>
          <w:left w:w="0" w:type="dxa"/>
          <w:bottom w:w="0" w:type="dxa"/>
          <w:right w:w="0" w:type="dxa"/>
        </w:tblCellMar>
      </w:tblPr>
      <w:tr>
        <w:trPr>
          <w:trHeight w:val="159"/>
        </w:trPr>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500" w:type="dxa"/>
            <w:vAlign w:val="bottom"/>
            <w:gridSpan w:val="3"/>
          </w:tcPr>
          <w:p>
            <w:pPr>
              <w:ind w:left="440"/>
              <w:spacing w:after="0"/>
              <w:rPr>
                <w:sz w:val="20"/>
                <w:szCs w:val="20"/>
                <w:color w:val="auto"/>
              </w:rPr>
            </w:pPr>
            <w:r>
              <w:rPr>
                <w:rFonts w:ascii="Arial" w:cs="Arial" w:eastAsia="Arial" w:hAnsi="Arial"/>
                <w:sz w:val="12"/>
                <w:szCs w:val="12"/>
                <w:color w:val="auto"/>
                <w:w w:val="99"/>
              </w:rPr>
              <w:t>Securities registered pursuant to Section 12(b) of the Act:</w:t>
            </w:r>
          </w:p>
        </w:tc>
        <w:tc>
          <w:tcPr>
            <w:tcW w:w="2220" w:type="dxa"/>
            <w:vAlign w:val="bottom"/>
          </w:tcPr>
          <w:p>
            <w:pPr>
              <w:spacing w:after="0"/>
              <w:rPr>
                <w:sz w:val="13"/>
                <w:szCs w:val="13"/>
                <w:color w:val="auto"/>
              </w:rPr>
            </w:pPr>
          </w:p>
        </w:tc>
      </w:tr>
      <w:tr>
        <w:trPr>
          <w:trHeight w:val="277"/>
        </w:trPr>
        <w:tc>
          <w:tcPr>
            <w:tcW w:w="6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1920" w:type="dxa"/>
            <w:vAlign w:val="bottom"/>
          </w:tcPr>
          <w:p>
            <w:pPr>
              <w:spacing w:after="0"/>
              <w:rPr>
                <w:sz w:val="24"/>
                <w:szCs w:val="24"/>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60"/>
        </w:trPr>
        <w:tc>
          <w:tcPr>
            <w:tcW w:w="2660" w:type="dxa"/>
            <w:vAlign w:val="bottom"/>
            <w:gridSpan w:val="3"/>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 per share</w:t>
            </w:r>
          </w:p>
        </w:tc>
        <w:tc>
          <w:tcPr>
            <w:tcW w:w="620" w:type="dxa"/>
            <w:vAlign w:val="bottom"/>
          </w:tcPr>
          <w:p>
            <w:pPr>
              <w:spacing w:after="0"/>
              <w:rPr>
                <w:sz w:val="13"/>
                <w:szCs w:val="13"/>
                <w:color w:val="auto"/>
              </w:rPr>
            </w:pPr>
          </w:p>
        </w:tc>
        <w:tc>
          <w:tcPr>
            <w:tcW w:w="2880" w:type="dxa"/>
            <w:vAlign w:val="bottom"/>
            <w:gridSpan w:val="2"/>
          </w:tcPr>
          <w:p>
            <w:pPr>
              <w:jc w:val="center"/>
              <w:ind w:right="1920"/>
              <w:spacing w:after="0"/>
              <w:rPr>
                <w:sz w:val="20"/>
                <w:szCs w:val="20"/>
                <w:color w:val="auto"/>
              </w:rPr>
            </w:pPr>
            <w:r>
              <w:rPr>
                <w:rFonts w:ascii="Times New Roman" w:cs="Times New Roman" w:eastAsia="Times New Roman" w:hAnsi="Times New Roman"/>
                <w:sz w:val="12"/>
                <w:szCs w:val="12"/>
                <w:b w:val="1"/>
                <w:bCs w:val="1"/>
                <w:color w:val="auto"/>
                <w:w w:val="97"/>
              </w:rPr>
              <w:t>SAIC</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r>
    </w:tbl>
    <w:p>
      <w:pPr>
        <w:spacing w:after="0" w:line="59" w:lineRule="exact"/>
        <w:rPr>
          <w:sz w:val="24"/>
          <w:szCs w:val="24"/>
          <w:color w:val="auto"/>
        </w:rPr>
      </w:pPr>
    </w:p>
    <w:p>
      <w:pPr>
        <w:ind w:right="120"/>
        <w:spacing w:after="0" w:line="28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5" w:lineRule="exact"/>
        <w:rPr>
          <w:sz w:val="24"/>
          <w:szCs w:val="24"/>
          <w:color w:val="auto"/>
        </w:rPr>
      </w:pPr>
    </w:p>
    <w:p>
      <w:pPr>
        <w:spacing w:after="0" w:line="16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421640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326390</wp:posOffset>
            </wp:positionH>
            <wp:positionV relativeFrom="paragraph">
              <wp:posOffset>57150</wp:posOffset>
            </wp:positionV>
            <wp:extent cx="65208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20815" cy="5715"/>
                    </a:xfrm>
                    <a:prstGeom prst="rect">
                      <a:avLst/>
                    </a:prstGeom>
                    <a:noFill/>
                  </pic:spPr>
                </pic:pic>
              </a:graphicData>
            </a:graphic>
          </wp:anchor>
        </w:drawing>
        <w:drawing>
          <wp:anchor simplePos="0" relativeHeight="251657728" behindDoc="1" locked="0" layoutInCell="0" allowOverlap="1">
            <wp:simplePos x="0" y="0"/>
            <wp:positionH relativeFrom="column">
              <wp:posOffset>326390</wp:posOffset>
            </wp:positionH>
            <wp:positionV relativeFrom="paragraph">
              <wp:posOffset>34290</wp:posOffset>
            </wp:positionV>
            <wp:extent cx="65208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20815" cy="5715"/>
                    </a:xfrm>
                    <a:prstGeom prst="rect">
                      <a:avLst/>
                    </a:prstGeom>
                    <a:noFill/>
                  </pic:spPr>
                </pic:pic>
              </a:graphicData>
            </a:graphic>
          </wp:anchor>
        </w:drawing>
      </w:r>
    </w:p>
    <w:p>
      <w:pPr>
        <w:sectPr>
          <w:pgSz w:w="11900" w:h="16838" w:orient="portrait"/>
          <w:cols w:equalWidth="0" w:num="1">
            <w:col w:w="11280"/>
          </w:cols>
          <w:pgMar w:left="300" w:top="581"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 xml:space="preserve">Item 2.02. </w:t>
      </w:r>
      <w:r>
        <w:rPr>
          <w:rFonts w:ascii="Arial" w:cs="Arial" w:eastAsia="Arial" w:hAnsi="Arial"/>
          <w:sz w:val="12"/>
          <w:szCs w:val="12"/>
          <w:b w:val="1"/>
          <w:bCs w:val="1"/>
          <w:i w:val="1"/>
          <w:iCs w:val="1"/>
          <w:color w:val="auto"/>
        </w:rPr>
        <w:t>Results of Operations and Financial Condition</w:t>
      </w:r>
      <w:r>
        <w:rPr>
          <w:rFonts w:ascii="Arial" w:cs="Arial" w:eastAsia="Arial" w:hAnsi="Arial"/>
          <w:sz w:val="12"/>
          <w:szCs w:val="12"/>
          <w:b w:val="1"/>
          <w:bCs w:val="1"/>
          <w:color w:val="auto"/>
        </w:rPr>
        <w:t>.</w:t>
      </w:r>
    </w:p>
    <w:p>
      <w:pPr>
        <w:spacing w:after="0" w:line="123" w:lineRule="exact"/>
        <w:rPr>
          <w:sz w:val="20"/>
          <w:szCs w:val="20"/>
          <w:color w:val="auto"/>
        </w:rPr>
      </w:pPr>
    </w:p>
    <w:p>
      <w:pPr>
        <w:ind w:right="140"/>
        <w:spacing w:after="0" w:line="257" w:lineRule="auto"/>
        <w:rPr>
          <w:sz w:val="20"/>
          <w:szCs w:val="20"/>
          <w:color w:val="auto"/>
        </w:rPr>
      </w:pPr>
      <w:r>
        <w:rPr>
          <w:rFonts w:ascii="Arial" w:cs="Arial" w:eastAsia="Arial" w:hAnsi="Arial"/>
          <w:sz w:val="12"/>
          <w:szCs w:val="12"/>
          <w:color w:val="auto"/>
        </w:rPr>
        <w:t>On February 11, 2026, Science Applications International Corporation (the “Company”) announced certain preliminary unaudited financial results for its fiscal fourth quarter, full fiscal year ended January 30, 2026 and the Company’s financial outlook for fiscal year 2027 in a press release and presentation that are attached hereto as Exhibit 99.1 and Exhibit 99.2, respectively. The press release and presentation are incorporated by reference herein. The estimated financial results for the year ended January 30, 2026 are preliminary and subject to normal end of period closing procedures and, accordingly, are subject to change. As a consequence, actual results may differ from the preliminary results contained in the press release and presentation. The non-GAAP measures for the year ended January 30, 2026 will be reconciled to the corresponding generally accepted accounting principles (“GAAP”) financial measures when the Company reports its full fourth quarter and fiscal year 2026 results on March 16, 2026. A copy of this presentation will also be posted on the Company’s Investor Relations website at https://investors.saic.com.</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The attached Exhibits 99.1 and 99.2 contain certain estimated, forward -looking financial measures for fiscal year 2027 not presented in accordance with GAAP, including adjusted EBITDA, adjusted EBITDA margin and free cash flow, that have not been reconciled to the corresponding GAAP financial measures due to the difficulty in forecasting and quantifying certain amounts necessary for such reconciliation. Because certain deductions for non-GAAP exclusions used to calculate net income and cash flows from operating activities may vary significantly based on actual events, the Company is not able to forecast GAAP net income or GAAP net cash flows from operating activities with reasonable certainty. The variability of the above charges may have an unpredictable and potentially significant impact on our future GAAP financial results.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7.01. </w:t>
      </w:r>
      <w:r>
        <w:rPr>
          <w:rFonts w:ascii="Arial" w:cs="Arial" w:eastAsia="Arial" w:hAnsi="Arial"/>
          <w:sz w:val="12"/>
          <w:szCs w:val="12"/>
          <w:b w:val="1"/>
          <w:bCs w:val="1"/>
          <w:i w:val="1"/>
          <w:iCs w:val="1"/>
          <w:color w:val="auto"/>
        </w:rPr>
        <w:t>Regulation FD Disclosure</w:t>
      </w:r>
      <w:r>
        <w:rPr>
          <w:rFonts w:ascii="Arial" w:cs="Arial" w:eastAsia="Arial" w:hAnsi="Arial"/>
          <w:sz w:val="12"/>
          <w:szCs w:val="12"/>
          <w:b w:val="1"/>
          <w:bCs w:val="1"/>
          <w:color w:val="auto"/>
        </w:rPr>
        <w:t>.</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information contained in Item 2.02 “Results of Operations and Financial Condition” is incorporated herein by reference. On February 11, 2026, certain members of Company management are attending an investor conference and will be presenting a business update including the information contained in Exhibits 99.1 and 99.2. The information contained in this Item 7.01, and Exhibits 99.1 and 99.2, are being furnished, and shall not be deemed “filed” for purposes of Section 18 of the Securities Exchange Act of 1934, as amended (the “Exchange Act”), or otherwise subject to the liabilities under Section 18. Furthermore, the information contained in this Item 7.01 and Exhibits 99.1 and 99.2 shall not be deemed to be incorporated by reference into the Company’s filings under the Securities Act of 1933, as amended, or the Exchange Act.</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This Current Report on Form 8-K may contain “forward-looking statements” within the meaning of the Private Securities Litigation Reform Act of 1995. The words “believes,” “expects,” “intends,” “plans,” “anticipates,” “hopes,” “likely,” “will,” and similar expressions identify such forward-looking statements. These statements are based on the Company’s expectations and involve risks, uncertainties and other important factors that could cause the actual results performance or achievements of the Company (or entities in which the Company has interests), or industry results, to differ materially from future results, performance or achievements expressed or implied by such forward-looking statements. Certain factors that could cause the Company’s actual future results to differ materially from those discussed are noted in connection with such statements, but other unanticipated factors could arise. Certain risks regarding the Company’s forward-looking statements are discussed in the Company’s filings with the Securities and Exchange Commission, including an extensive discussion of these risks in the Company’s Annual Report on Form 10-K and updated in any subsequent Quarterly Reports on Form 10-Q and other filings with the Securities and Exchange Commission. Readers are cautioned not to place undue reliance on these forward-looking statements which reflect management’s view only as of the date of this Form 8-K. The Company undertakes no obligation to publicly release any revisions to these forward-looking statements to reflect events or circumstances after the date hereof or to reflect the occurrence of unanticipated events, conditions or circumstances.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Item 9.01. Financial Statements and Exhibits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00" w:type="dxa"/>
            <w:vAlign w:val="bottom"/>
            <w:gridSpan w:val="4"/>
          </w:tcPr>
          <w:p>
            <w:pPr>
              <w:jc w:val="center"/>
              <w:ind w:right="420"/>
              <w:spacing w:after="0"/>
              <w:rPr>
                <w:sz w:val="20"/>
                <w:szCs w:val="20"/>
                <w:color w:val="auto"/>
              </w:rPr>
            </w:pPr>
            <w:r>
              <w:rPr>
                <w:rFonts w:ascii="Arial" w:cs="Arial" w:eastAsia="Arial" w:hAnsi="Arial"/>
                <w:sz w:val="10"/>
                <w:szCs w:val="10"/>
                <w:b w:val="1"/>
                <w:bCs w:val="1"/>
                <w:color w:val="auto"/>
                <w:w w:val="95"/>
              </w:rPr>
              <w:t>Exhibit</w:t>
            </w:r>
          </w:p>
        </w:tc>
        <w:tc>
          <w:tcPr>
            <w:tcW w:w="5680" w:type="dxa"/>
            <w:vAlign w:val="bottom"/>
            <w:vMerge w:val="restart"/>
          </w:tcPr>
          <w:p>
            <w:pPr>
              <w:spacing w:after="0"/>
              <w:rPr>
                <w:sz w:val="20"/>
                <w:szCs w:val="20"/>
                <w:color w:val="auto"/>
              </w:rPr>
            </w:pPr>
            <w:r>
              <w:rPr>
                <w:rFonts w:ascii="Arial" w:cs="Arial" w:eastAsia="Arial" w:hAnsi="Arial"/>
                <w:sz w:val="10"/>
                <w:szCs w:val="10"/>
                <w:b w:val="1"/>
                <w:bCs w:val="1"/>
                <w:color w:val="auto"/>
              </w:rPr>
              <w:t>Description of Exhibit</w:t>
            </w:r>
          </w:p>
        </w:tc>
        <w:tc>
          <w:tcPr>
            <w:tcW w:w="47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rPr>
              <w:t>Number</w:t>
            </w:r>
          </w:p>
        </w:tc>
        <w:tc>
          <w:tcPr>
            <w:tcW w:w="440" w:type="dxa"/>
            <w:vAlign w:val="bottom"/>
          </w:tcPr>
          <w:p>
            <w:pPr>
              <w:spacing w:after="0"/>
              <w:rPr>
                <w:sz w:val="10"/>
                <w:szCs w:val="10"/>
                <w:color w:val="auto"/>
              </w:rPr>
            </w:pPr>
          </w:p>
        </w:tc>
        <w:tc>
          <w:tcPr>
            <w:tcW w:w="5680" w:type="dxa"/>
            <w:vAlign w:val="bottom"/>
            <w:tcBorders>
              <w:bottom w:val="single" w:sz="8" w:color="auto"/>
            </w:tcBorders>
            <w:vMerge w:val="continue"/>
          </w:tcPr>
          <w:p>
            <w:pPr>
              <w:spacing w:after="0"/>
              <w:rPr>
                <w:sz w:val="10"/>
                <w:szCs w:val="10"/>
                <w:color w:val="auto"/>
              </w:rPr>
            </w:pPr>
          </w:p>
        </w:tc>
        <w:tc>
          <w:tcPr>
            <w:tcW w:w="4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340" w:type="dxa"/>
            <w:vAlign w:val="bottom"/>
            <w:gridSpan w:val="2"/>
          </w:tcPr>
          <w:p>
            <w:pPr>
              <w:jc w:val="center"/>
              <w:ind w:left="66"/>
              <w:spacing w:after="0"/>
              <w:rPr>
                <w:sz w:val="20"/>
                <w:szCs w:val="20"/>
                <w:color w:val="auto"/>
              </w:rPr>
            </w:pPr>
            <w:r>
              <w:rPr>
                <w:rFonts w:ascii="Arial" w:cs="Arial" w:eastAsia="Arial" w:hAnsi="Arial"/>
                <w:sz w:val="12"/>
                <w:szCs w:val="12"/>
                <w:color w:val="2B4C9B"/>
                <w:w w:val="93"/>
              </w:rPr>
              <w:t>99.</w:t>
            </w:r>
            <w:r>
              <w:rPr>
                <w:rFonts w:ascii="Arial" w:cs="Arial" w:eastAsia="Arial" w:hAnsi="Arial"/>
                <w:sz w:val="12"/>
                <w:szCs w:val="12"/>
                <w:u w:val="single" w:color="auto"/>
                <w:color w:val="2B4C9B"/>
                <w:w w:val="93"/>
              </w:rPr>
              <w:t>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0" w:type="dxa"/>
            <w:vAlign w:val="bottom"/>
            <w:gridSpan w:val="2"/>
          </w:tcPr>
          <w:p>
            <w:pPr>
              <w:spacing w:after="0"/>
              <w:rPr>
                <w:sz w:val="20"/>
                <w:szCs w:val="20"/>
                <w:color w:val="auto"/>
              </w:rPr>
            </w:pPr>
            <w:r>
              <w:rPr>
                <w:rFonts w:ascii="Arial" w:cs="Arial" w:eastAsia="Arial" w:hAnsi="Arial"/>
                <w:sz w:val="12"/>
                <w:szCs w:val="12"/>
                <w:color w:val="auto"/>
              </w:rPr>
              <w:t>Press Release, dated February 11, 2026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40" w:type="dxa"/>
            <w:vAlign w:val="bottom"/>
            <w:gridSpan w:val="2"/>
          </w:tcPr>
          <w:p>
            <w:pPr>
              <w:jc w:val="center"/>
              <w:ind w:left="66"/>
              <w:spacing w:after="0"/>
              <w:rPr>
                <w:sz w:val="20"/>
                <w:szCs w:val="20"/>
                <w:color w:val="auto"/>
              </w:rPr>
            </w:pPr>
            <w:r>
              <w:rPr>
                <w:rFonts w:ascii="Arial" w:cs="Arial" w:eastAsia="Arial" w:hAnsi="Arial"/>
                <w:sz w:val="12"/>
                <w:szCs w:val="12"/>
                <w:color w:val="2B4C9D"/>
                <w:w w:val="93"/>
              </w:rPr>
              <w:t>99.</w:t>
            </w:r>
            <w:r>
              <w:rPr>
                <w:rFonts w:ascii="Arial" w:cs="Arial" w:eastAsia="Arial" w:hAnsi="Arial"/>
                <w:sz w:val="12"/>
                <w:szCs w:val="12"/>
                <w:u w:val="single" w:color="auto"/>
                <w:color w:val="2B4C9D"/>
                <w:w w:val="93"/>
              </w:rPr>
              <w:t>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0" w:type="dxa"/>
            <w:vAlign w:val="bottom"/>
            <w:gridSpan w:val="2"/>
          </w:tcPr>
          <w:p>
            <w:pPr>
              <w:spacing w:after="0"/>
              <w:rPr>
                <w:sz w:val="20"/>
                <w:szCs w:val="20"/>
                <w:color w:val="auto"/>
              </w:rPr>
            </w:pPr>
            <w:r>
              <w:rPr>
                <w:rFonts w:ascii="Arial" w:cs="Arial" w:eastAsia="Arial" w:hAnsi="Arial"/>
                <w:sz w:val="12"/>
                <w:szCs w:val="12"/>
                <w:color w:val="auto"/>
              </w:rPr>
              <w:t>Business Update Presentation, dated February 11, 2026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20" w:type="dxa"/>
            <w:vAlign w:val="bottom"/>
            <w:tcBorders>
              <w:top w:val="single" w:sz="8" w:color="2B4C9D"/>
            </w:tcBorders>
          </w:tcPr>
          <w:p>
            <w:pPr>
              <w:jc w:val="center"/>
              <w:spacing w:after="0"/>
              <w:rPr>
                <w:sz w:val="20"/>
                <w:szCs w:val="20"/>
                <w:color w:val="auto"/>
              </w:rPr>
            </w:pPr>
            <w:r>
              <w:rPr>
                <w:rFonts w:ascii="Arial" w:cs="Arial" w:eastAsia="Arial" w:hAnsi="Arial"/>
                <w:sz w:val="12"/>
                <w:szCs w:val="12"/>
                <w:color w:val="auto"/>
                <w:w w:val="99"/>
              </w:rPr>
              <w:t>104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gridSpan w:val="2"/>
          </w:tcPr>
          <w:p>
            <w:pPr>
              <w:spacing w:after="0"/>
              <w:rPr>
                <w:sz w:val="20"/>
                <w:szCs w:val="20"/>
                <w:color w:val="auto"/>
              </w:rPr>
            </w:pPr>
            <w:r>
              <w:rPr>
                <w:rFonts w:ascii="Arial" w:cs="Arial" w:eastAsia="Arial" w:hAnsi="Arial"/>
                <w:sz w:val="12"/>
                <w:szCs w:val="12"/>
                <w:color w:val="auto"/>
              </w:rPr>
              <w:t>Cover Page Interactive Data File, formatted as Inline XBRL</w:t>
            </w:r>
          </w:p>
        </w:tc>
        <w:tc>
          <w:tcPr>
            <w:tcW w:w="0" w:type="dxa"/>
            <w:vAlign w:val="bottom"/>
          </w:tcPr>
          <w:p>
            <w:pPr>
              <w:spacing w:after="0"/>
              <w:rPr>
                <w:sz w:val="1"/>
                <w:szCs w:val="1"/>
                <w:color w:val="auto"/>
              </w:rPr>
            </w:pPr>
          </w:p>
        </w:tc>
      </w:tr>
      <w:tr>
        <w:trPr>
          <w:trHeight w:val="358"/>
        </w:trPr>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48"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50" w:lineRule="exact"/>
        <w:rPr>
          <w:sz w:val="20"/>
          <w:szCs w:val="20"/>
          <w:color w:val="auto"/>
        </w:rPr>
      </w:pPr>
    </w:p>
    <w:p>
      <w:pPr>
        <w:ind w:right="479"/>
        <w:spacing w:after="0" w:line="500"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 Date: February 11, 2026</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Science Applications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13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Hilary L. Hageman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23495</wp:posOffset>
            </wp:positionV>
            <wp:extent cx="167449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4495" cy="5715"/>
                    </a:xfrm>
                    <a:prstGeom prst="rect">
                      <a:avLst/>
                    </a:prstGeom>
                    <a:noFill/>
                  </pic:spPr>
                </pic:pic>
              </a:graphicData>
            </a:graphic>
          </wp:anchor>
        </w:drawing>
      </w:r>
    </w:p>
    <w:p>
      <w:pPr>
        <w:spacing w:after="0" w:line="64" w:lineRule="exact"/>
        <w:rPr>
          <w:sz w:val="20"/>
          <w:szCs w:val="20"/>
          <w:color w:val="auto"/>
        </w:rPr>
      </w:pPr>
    </w:p>
    <w:p>
      <w:pPr>
        <w:ind w:left="1520"/>
        <w:spacing w:after="0"/>
        <w:rPr>
          <w:sz w:val="20"/>
          <w:szCs w:val="20"/>
          <w:color w:val="auto"/>
        </w:rPr>
      </w:pPr>
      <w:r>
        <w:rPr>
          <w:rFonts w:ascii="Arial" w:cs="Arial" w:eastAsia="Arial" w:hAnsi="Arial"/>
          <w:sz w:val="10"/>
          <w:szCs w:val="10"/>
          <w:b w:val="1"/>
          <w:bCs w:val="1"/>
          <w:color w:val="auto"/>
        </w:rPr>
        <w:t>Hilary L. Hageman</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Executive Vice President, General Counsel and</w:t>
      </w:r>
    </w:p>
    <w:p>
      <w:pPr>
        <w:ind w:left="1480"/>
        <w:spacing w:after="0"/>
        <w:rPr>
          <w:sz w:val="20"/>
          <w:szCs w:val="20"/>
          <w:color w:val="auto"/>
        </w:rPr>
      </w:pPr>
      <w:r>
        <w:rPr>
          <w:rFonts w:ascii="Arial" w:cs="Arial" w:eastAsia="Arial" w:hAnsi="Arial"/>
          <w:sz w:val="10"/>
          <w:szCs w:val="10"/>
          <w:b w:val="1"/>
          <w:bCs w:val="1"/>
          <w:color w:val="auto"/>
        </w:rPr>
        <w:t>Corporate Secretary</w:t>
      </w:r>
    </w:p>
    <w:p>
      <w:pPr>
        <w:sectPr>
          <w:pgSz w:w="11900" w:h="16838" w:orient="portrait"/>
          <w:cols w:equalWidth="0" w:num="1">
            <w:col w:w="10159"/>
          </w:cols>
          <w:pgMar w:left="300" w:top="415"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412115</wp:posOffset>
            </wp:positionV>
            <wp:extent cx="782955" cy="365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82955"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SAIC Announces Preliminary Unaudited Fourth Quarter and Full Fiscal Year 2026 Financial Results and Updated Fiscal Year 2027 Guidance</w:t>
      </w:r>
    </w:p>
    <w:p>
      <w:pPr>
        <w:spacing w:after="0" w:line="200" w:lineRule="exact"/>
        <w:rPr>
          <w:sz w:val="20"/>
          <w:szCs w:val="20"/>
          <w:color w:val="auto"/>
        </w:rPr>
      </w:pPr>
    </w:p>
    <w:p>
      <w:pPr>
        <w:spacing w:after="0" w:line="211"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RESTON, Va., February 11, 2026 – Science Applications International Corp. (NASDAQ: SAIC), a leading mission integrator supporting defense, space, intelligence and civilian agencies, today announced unaudited preliminary financial results for the fiscal fourth quarter and full fiscal year 2026 and updated its financial guidance for fiscal year 2027. The Company’s announcement of unaudited preliminary financial results and updated guidance was primarily due to recent procurement delays and unfavorable customer award decisions. These items will result in a reduction to expected fiscal year 2026 and 2027 revenue compared to prior guidance.</w:t>
      </w:r>
    </w:p>
    <w:p>
      <w:pPr>
        <w:spacing w:after="0" w:line="90" w:lineRule="exact"/>
        <w:rPr>
          <w:sz w:val="20"/>
          <w:szCs w:val="20"/>
          <w:color w:val="auto"/>
        </w:rPr>
      </w:pPr>
    </w:p>
    <w:p>
      <w:pPr>
        <w:ind w:right="380"/>
        <w:spacing w:after="0" w:line="303" w:lineRule="auto"/>
        <w:rPr>
          <w:sz w:val="20"/>
          <w:szCs w:val="20"/>
          <w:color w:val="auto"/>
        </w:rPr>
      </w:pPr>
      <w:r>
        <w:rPr>
          <w:rFonts w:ascii="Arial" w:cs="Arial" w:eastAsia="Arial" w:hAnsi="Arial"/>
          <w:sz w:val="11"/>
          <w:szCs w:val="11"/>
          <w:color w:val="auto"/>
        </w:rPr>
        <w:t>"While recent dynamics pressure our near-term revenue outlook, we continue to invest to ensure that our solutions directly support what is most impactful to national security and to broader government transformation. We are also improving every stage of our business development and delivery processes by investing in our people, processes, and tools. This includes a bottoms-up enterprise transformation program to increase our investment capacity. I’m confident these efforts will generate more sustained, profitable growth in the coming years,” said Jim Reagan, SAIC’s Interim Chief Executive Officer.</w:t>
      </w:r>
    </w:p>
    <w:p>
      <w:pPr>
        <w:spacing w:after="0" w:line="79"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“The revenue pressures we have seen recently are disproportionately within our portfolio of larger and commoditized Enterprise IT programs. Going forward, we will be more selective by focusing on customer opportunities with the potential for technology transformation and execution upside. We’re confident in our ability to return to growth with solid double-digit margins over time. We look forward to discussing these efforts in greater detail on our fourth quarter earnings call in March,” said Prabu Natarajan, SAIC’s Chief Financial Officer. Mr. Natarajan will provide further comments on these dynamics in a presentation at the TD Cowen Aerospace &amp; Defense Conference on February 11 at 4:20 PM ET. The webcast and associated materials can be accessed in the events section of SAIC’s investor relations website.</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Preliminary Q4 FY26 and FY26 results</w:t>
      </w:r>
    </w:p>
    <w:p>
      <w:pPr>
        <w:spacing w:after="0" w:line="123" w:lineRule="exact"/>
        <w:rPr>
          <w:sz w:val="20"/>
          <w:szCs w:val="20"/>
          <w:color w:val="auto"/>
        </w:rPr>
      </w:pPr>
    </w:p>
    <w:p>
      <w:pPr>
        <w:ind w:right="160"/>
        <w:spacing w:after="0" w:line="221" w:lineRule="auto"/>
        <w:rPr>
          <w:sz w:val="20"/>
          <w:szCs w:val="20"/>
          <w:color w:val="auto"/>
        </w:rPr>
      </w:pPr>
      <w:r>
        <w:rPr>
          <w:rFonts w:ascii="Arial" w:cs="Arial" w:eastAsia="Arial" w:hAnsi="Arial"/>
          <w:sz w:val="12"/>
          <w:szCs w:val="12"/>
          <w:color w:val="auto"/>
        </w:rPr>
        <w:t>The table below summarizes the company’s current expectations for the full year 2026 financial results for certain key metrics. Revenue results are modestly below prior expectations due to the 2025 government shutdown, adverse weather, and procurement delays. Adjusted EBITDA</w:t>
      </w:r>
      <w:r>
        <w:rPr>
          <w:rFonts w:ascii="Arial" w:cs="Arial" w:eastAsia="Arial" w:hAnsi="Arial"/>
          <w:sz w:val="18"/>
          <w:szCs w:val="18"/>
          <w:color w:val="auto"/>
          <w:vertAlign w:val="superscript"/>
        </w:rPr>
        <w:t>(1)</w:t>
      </w:r>
      <w:r>
        <w:rPr>
          <w:rFonts w:ascii="Arial" w:cs="Arial" w:eastAsia="Arial" w:hAnsi="Arial"/>
          <w:sz w:val="12"/>
          <w:szCs w:val="12"/>
          <w:color w:val="auto"/>
        </w:rPr>
        <w:t>, adjusted EBITDA %</w:t>
      </w:r>
      <w:r>
        <w:rPr>
          <w:rFonts w:ascii="Arial" w:cs="Arial" w:eastAsia="Arial" w:hAnsi="Arial"/>
          <w:sz w:val="18"/>
          <w:szCs w:val="18"/>
          <w:color w:val="auto"/>
          <w:vertAlign w:val="superscript"/>
        </w:rPr>
        <w:t>(1)</w:t>
      </w:r>
      <w:r>
        <w:rPr>
          <w:rFonts w:ascii="Arial" w:cs="Arial" w:eastAsia="Arial" w:hAnsi="Arial"/>
          <w:sz w:val="12"/>
          <w:szCs w:val="12"/>
          <w:color w:val="auto"/>
        </w:rPr>
        <w:t>, adjusted diluted EPS</w:t>
      </w:r>
      <w:r>
        <w:rPr>
          <w:rFonts w:ascii="Arial" w:cs="Arial" w:eastAsia="Arial" w:hAnsi="Arial"/>
          <w:sz w:val="18"/>
          <w:szCs w:val="18"/>
          <w:color w:val="auto"/>
          <w:vertAlign w:val="superscript"/>
        </w:rPr>
        <w:t>(1)</w:t>
      </w:r>
      <w:r>
        <w:rPr>
          <w:rFonts w:ascii="Arial" w:cs="Arial" w:eastAsia="Arial" w:hAnsi="Arial"/>
          <w:sz w:val="12"/>
          <w:szCs w:val="12"/>
          <w:color w:val="auto"/>
        </w:rPr>
        <w:t>, and free cash flow</w:t>
      </w:r>
      <w:r>
        <w:rPr>
          <w:rFonts w:ascii="Arial" w:cs="Arial" w:eastAsia="Arial" w:hAnsi="Arial"/>
          <w:sz w:val="18"/>
          <w:szCs w:val="18"/>
          <w:color w:val="auto"/>
          <w:vertAlign w:val="superscript"/>
        </w:rPr>
        <w:t>(1)</w:t>
      </w:r>
      <w:r>
        <w:rPr>
          <w:rFonts w:ascii="Arial" w:cs="Arial" w:eastAsia="Arial" w:hAnsi="Arial"/>
          <w:sz w:val="12"/>
          <w:szCs w:val="12"/>
          <w:color w:val="auto"/>
        </w:rPr>
        <w:t xml:space="preserve"> are above prior expectations due to strong execution, improved operational efficiency, and a lower tax rate.</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3140" w:type="dxa"/>
            <w:vAlign w:val="bottom"/>
            <w:tcBorders>
              <w:right w:val="single" w:sz="8" w:color="auto"/>
            </w:tcBorders>
          </w:tcPr>
          <w:p>
            <w:pPr>
              <w:spacing w:after="0"/>
              <w:rPr>
                <w:sz w:val="15"/>
                <w:szCs w:val="15"/>
                <w:color w:val="auto"/>
              </w:rPr>
            </w:pPr>
          </w:p>
        </w:tc>
        <w:tc>
          <w:tcPr>
            <w:tcW w:w="27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9"/>
              </w:rPr>
              <w:t>PRELIMINARY</w:t>
            </w: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PRELIMINARY</w:t>
            </w:r>
          </w:p>
        </w:tc>
        <w:tc>
          <w:tcPr>
            <w:tcW w:w="274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9"/>
              </w:rPr>
              <w:t>PRIOR Fiscal Year</w:t>
            </w:r>
          </w:p>
        </w:tc>
      </w:tr>
      <w:tr>
        <w:trPr>
          <w:trHeight w:val="185"/>
        </w:trPr>
        <w:tc>
          <w:tcPr>
            <w:tcW w:w="314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Q4 FY26 Results</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FY26 Results</w:t>
            </w:r>
          </w:p>
        </w:tc>
        <w:tc>
          <w:tcPr>
            <w:tcW w:w="27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9"/>
              </w:rPr>
              <w:t>2026 Guidance</w:t>
            </w:r>
          </w:p>
        </w:tc>
      </w:tr>
      <w:tr>
        <w:trPr>
          <w:trHeight w:val="158"/>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Revenue</w:t>
            </w:r>
          </w:p>
        </w:tc>
        <w:tc>
          <w:tcPr>
            <w:tcW w:w="272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rPr>
              <w:t>~$1.745B</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~$7.26B</w:t>
            </w:r>
          </w:p>
        </w:tc>
        <w:tc>
          <w:tcPr>
            <w:tcW w:w="1320" w:type="dxa"/>
            <w:vAlign w:val="bottom"/>
          </w:tcPr>
          <w:p>
            <w:pPr>
              <w:jc w:val="right"/>
              <w:spacing w:after="0"/>
              <w:rPr>
                <w:sz w:val="20"/>
                <w:szCs w:val="20"/>
                <w:color w:val="auto"/>
              </w:rPr>
            </w:pPr>
            <w:r>
              <w:rPr>
                <w:rFonts w:ascii="Arial" w:cs="Arial" w:eastAsia="Arial" w:hAnsi="Arial"/>
                <w:sz w:val="12"/>
                <w:szCs w:val="12"/>
                <w:color w:val="auto"/>
              </w:rPr>
              <w:t>$7.275B</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$7.325B</w:t>
            </w:r>
          </w:p>
        </w:tc>
      </w:tr>
      <w:tr>
        <w:trPr>
          <w:trHeight w:val="180"/>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Organic Growth</w:t>
            </w:r>
          </w:p>
        </w:tc>
        <w:tc>
          <w:tcPr>
            <w:tcW w:w="272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w w:val="98"/>
              </w:rPr>
              <w:t>~(6%)</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w:t>
            </w:r>
          </w:p>
        </w:tc>
        <w:tc>
          <w:tcPr>
            <w:tcW w:w="1320" w:type="dxa"/>
            <w:vAlign w:val="bottom"/>
          </w:tcPr>
          <w:p>
            <w:pPr>
              <w:jc w:val="right"/>
              <w:spacing w:after="0"/>
              <w:rPr>
                <w:sz w:val="20"/>
                <w:szCs w:val="20"/>
                <w:color w:val="auto"/>
              </w:rPr>
            </w:pPr>
            <w:r>
              <w:rPr>
                <w:rFonts w:ascii="Arial" w:cs="Arial" w:eastAsia="Arial" w:hAnsi="Arial"/>
                <w:sz w:val="12"/>
                <w:szCs w:val="12"/>
                <w:color w:val="auto"/>
              </w:rPr>
              <w:t>(2%</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- 3%)</w:t>
            </w:r>
          </w:p>
        </w:tc>
      </w:tr>
      <w:tr>
        <w:trPr>
          <w:trHeight w:val="200"/>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Adjusted EBITDA</w:t>
            </w:r>
            <w:r>
              <w:rPr>
                <w:rFonts w:ascii="Arial" w:cs="Arial" w:eastAsia="Arial" w:hAnsi="Arial"/>
                <w:sz w:val="15"/>
                <w:szCs w:val="15"/>
                <w:color w:val="auto"/>
                <w:w w:val="98"/>
                <w:vertAlign w:val="superscript"/>
              </w:rPr>
              <w:t>(1)</w:t>
            </w:r>
          </w:p>
        </w:tc>
        <w:tc>
          <w:tcPr>
            <w:tcW w:w="272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rPr>
              <w:t>~$180M</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~$705M</w:t>
            </w:r>
          </w:p>
        </w:tc>
        <w:tc>
          <w:tcPr>
            <w:tcW w:w="274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rPr>
              <w:t>~$695M</w:t>
            </w:r>
          </w:p>
        </w:tc>
      </w:tr>
      <w:tr>
        <w:trPr>
          <w:trHeight w:val="180"/>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Adjusted EBITDA Margin %</w:t>
            </w:r>
            <w:r>
              <w:rPr>
                <w:rFonts w:ascii="Arial" w:cs="Arial" w:eastAsia="Arial" w:hAnsi="Arial"/>
                <w:sz w:val="15"/>
                <w:szCs w:val="15"/>
                <w:color w:val="auto"/>
                <w:w w:val="97"/>
                <w:vertAlign w:val="superscript"/>
              </w:rPr>
              <w:t>(1)</w:t>
            </w:r>
          </w:p>
        </w:tc>
        <w:tc>
          <w:tcPr>
            <w:tcW w:w="272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w w:val="97"/>
              </w:rPr>
              <w:t>~10.3%</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~9.7%</w:t>
            </w:r>
          </w:p>
        </w:tc>
        <w:tc>
          <w:tcPr>
            <w:tcW w:w="274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w w:val="98"/>
              </w:rPr>
              <w:t>~9.5%</w:t>
            </w:r>
          </w:p>
        </w:tc>
      </w:tr>
      <w:tr>
        <w:trPr>
          <w:trHeight w:val="180"/>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Adjusted Diluted EPS</w:t>
            </w:r>
            <w:r>
              <w:rPr>
                <w:rFonts w:ascii="Arial" w:cs="Arial" w:eastAsia="Arial" w:hAnsi="Arial"/>
                <w:sz w:val="15"/>
                <w:szCs w:val="15"/>
                <w:color w:val="auto"/>
                <w:w w:val="97"/>
                <w:vertAlign w:val="superscript"/>
              </w:rPr>
              <w:t>(1)</w:t>
            </w:r>
          </w:p>
        </w:tc>
        <w:tc>
          <w:tcPr>
            <w:tcW w:w="1300" w:type="dxa"/>
            <w:vAlign w:val="bottom"/>
          </w:tcPr>
          <w:p>
            <w:pPr>
              <w:jc w:val="right"/>
              <w:spacing w:after="0"/>
              <w:rPr>
                <w:sz w:val="20"/>
                <w:szCs w:val="20"/>
                <w:color w:val="auto"/>
              </w:rPr>
            </w:pPr>
            <w:r>
              <w:rPr>
                <w:rFonts w:ascii="Arial" w:cs="Arial" w:eastAsia="Arial" w:hAnsi="Arial"/>
                <w:sz w:val="12"/>
                <w:szCs w:val="12"/>
                <w:color w:val="auto"/>
              </w:rPr>
              <w:t>$2.30</w:t>
            </w:r>
          </w:p>
        </w:tc>
        <w:tc>
          <w:tcPr>
            <w:tcW w:w="14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$2.50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$10.40 - $10.60</w:t>
            </w:r>
          </w:p>
        </w:tc>
        <w:tc>
          <w:tcPr>
            <w:tcW w:w="274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w w:val="98"/>
              </w:rPr>
              <w:t>$9.80 - $10.00</w:t>
            </w:r>
          </w:p>
        </w:tc>
      </w:tr>
      <w:tr>
        <w:trPr>
          <w:trHeight w:val="176"/>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Free Cash Flow</w:t>
            </w:r>
            <w:r>
              <w:rPr>
                <w:rFonts w:ascii="Arial" w:cs="Arial" w:eastAsia="Arial" w:hAnsi="Arial"/>
                <w:sz w:val="15"/>
                <w:szCs w:val="15"/>
                <w:color w:val="auto"/>
                <w:w w:val="96"/>
                <w:vertAlign w:val="superscript"/>
              </w:rPr>
              <w:t>(1)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$330M</w:t>
            </w:r>
          </w:p>
        </w:tc>
        <w:tc>
          <w:tcPr>
            <w:tcW w:w="1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 $335M</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$570M - $575M</w:t>
            </w:r>
          </w:p>
        </w:tc>
        <w:tc>
          <w:tcPr>
            <w:tcW w:w="27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color w:val="auto"/>
              </w:rPr>
              <w:t>&gt;$550M</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vertAlign w:val="superscript"/>
        </w:rPr>
        <w:t>(1)</w:t>
      </w:r>
      <w:r>
        <w:rPr>
          <w:rFonts w:ascii="Arial" w:cs="Arial" w:eastAsia="Arial" w:hAnsi="Arial"/>
          <w:sz w:val="10"/>
          <w:szCs w:val="10"/>
          <w:i w:val="1"/>
          <w:iCs w:val="1"/>
          <w:color w:val="auto"/>
        </w:rPr>
        <w:t>Non-GAAP measure, please refer below for information about this measure.</w:t>
      </w:r>
    </w:p>
    <w:p>
      <w:pPr>
        <w:sectPr>
          <w:pgSz w:w="11900" w:h="16838" w:orient="portrait"/>
          <w:cols w:equalWidth="0" w:num="1">
            <w:col w:w="11300"/>
          </w:cols>
          <w:pgMar w:left="300" w:top="118" w:right="299" w:bottom="1440" w:gutter="0" w:footer="0" w:header="0"/>
        </w:sectPr>
      </w:pPr>
    </w:p>
    <w:bookmarkStart w:id="4" w:name="page5"/>
    <w:bookmarkEnd w:id="4"/>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000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00050" cy="171450"/>
                    </a:xfrm>
                    <a:prstGeom prst="rect">
                      <a:avLst/>
                    </a:prstGeom>
                    <a:noFill/>
                  </pic:spPr>
                </pic:pic>
              </a:graphicData>
            </a:graphic>
          </wp:anchor>
        </w:drawing>
        <w:t>Revised FY27 guidance</w:t>
      </w:r>
    </w:p>
    <w:p>
      <w:pPr>
        <w:spacing w:after="0" w:line="123" w:lineRule="exact"/>
        <w:rPr>
          <w:sz w:val="20"/>
          <w:szCs w:val="20"/>
          <w:color w:val="auto"/>
        </w:rPr>
      </w:pPr>
    </w:p>
    <w:p>
      <w:pPr>
        <w:ind w:left="8"/>
        <w:spacing w:after="0" w:line="266" w:lineRule="auto"/>
        <w:rPr>
          <w:sz w:val="20"/>
          <w:szCs w:val="20"/>
          <w:color w:val="auto"/>
        </w:rPr>
      </w:pPr>
      <w:r>
        <w:rPr>
          <w:rFonts w:ascii="Arial" w:cs="Arial" w:eastAsia="Arial" w:hAnsi="Arial"/>
          <w:sz w:val="12"/>
          <w:szCs w:val="12"/>
          <w:color w:val="auto"/>
        </w:rPr>
        <w:t>In addition, the company is updating its financial guidance for fiscal year 2027 which is reflected in the table below. As a result of two recent unfavorable recompete award decisions and unchanged market conditions, the company now expects fiscal year 2027 revenue to organically decline, compared to previous guidance of modest growth. Margin is expected to be higher than the previous guidance due to improved operational efficiency and mix. Adjusted EBITDA</w:t>
      </w:r>
      <w:r>
        <w:rPr>
          <w:rFonts w:ascii="Arial" w:cs="Arial" w:eastAsia="Arial" w:hAnsi="Arial"/>
          <w:sz w:val="18"/>
          <w:szCs w:val="18"/>
          <w:color w:val="auto"/>
          <w:vertAlign w:val="superscript"/>
        </w:rPr>
        <w:t>(1)</w:t>
      </w:r>
      <w:r>
        <w:rPr>
          <w:rFonts w:ascii="Arial" w:cs="Arial" w:eastAsia="Arial" w:hAnsi="Arial"/>
          <w:sz w:val="12"/>
          <w:szCs w:val="12"/>
          <w:color w:val="auto"/>
        </w:rPr>
        <w:t xml:space="preserve"> is now expected to be lower due to the impact of lower revenue, partially offset by higher margin.</w:t>
      </w:r>
    </w:p>
    <w:p>
      <w:pPr>
        <w:spacing w:after="0" w:line="33" w:lineRule="exact"/>
        <w:rPr>
          <w:sz w:val="20"/>
          <w:szCs w:val="20"/>
          <w:color w:val="auto"/>
        </w:rPr>
      </w:pPr>
    </w:p>
    <w:tbl>
      <w:tblPr>
        <w:tblLayout w:type="fixed"/>
        <w:tblInd w:w="1238" w:type="dxa"/>
        <w:tblCellMar>
          <w:top w:w="0" w:type="dxa"/>
          <w:left w:w="0" w:type="dxa"/>
          <w:bottom w:w="0" w:type="dxa"/>
          <w:right w:w="0" w:type="dxa"/>
        </w:tblCellMar>
      </w:tblPr>
      <w:tr>
        <w:trPr>
          <w:trHeight w:val="179"/>
        </w:trPr>
        <w:tc>
          <w:tcPr>
            <w:tcW w:w="3240" w:type="dxa"/>
            <w:vAlign w:val="bottom"/>
            <w:tcBorders>
              <w:right w:val="single" w:sz="8" w:color="auto"/>
            </w:tcBorders>
          </w:tcPr>
          <w:p>
            <w:pPr>
              <w:spacing w:after="0"/>
              <w:rPr>
                <w:sz w:val="15"/>
                <w:szCs w:val="15"/>
                <w:color w:val="auto"/>
              </w:rPr>
            </w:pPr>
          </w:p>
        </w:tc>
        <w:tc>
          <w:tcPr>
            <w:tcW w:w="28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CURRENT Fiscal Year</w:t>
            </w:r>
          </w:p>
        </w:tc>
        <w:tc>
          <w:tcPr>
            <w:tcW w:w="28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9"/>
              </w:rPr>
              <w:t>PRIOR Fiscal Year</w:t>
            </w:r>
          </w:p>
        </w:tc>
      </w:tr>
      <w:tr>
        <w:trPr>
          <w:trHeight w:val="185"/>
        </w:trPr>
        <w:tc>
          <w:tcPr>
            <w:tcW w:w="3240" w:type="dxa"/>
            <w:vAlign w:val="bottom"/>
            <w:tcBorders>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2027 Guidance</w:t>
            </w:r>
          </w:p>
        </w:tc>
        <w:tc>
          <w:tcPr>
            <w:tcW w:w="28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2027 Targets</w:t>
            </w:r>
          </w:p>
        </w:tc>
      </w:tr>
      <w:tr>
        <w:trPr>
          <w:trHeight w:val="158"/>
        </w:trPr>
        <w:tc>
          <w:tcPr>
            <w:tcW w:w="3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Revenue</w:t>
            </w:r>
          </w:p>
        </w:tc>
        <w:tc>
          <w:tcPr>
            <w:tcW w:w="1360" w:type="dxa"/>
            <w:vAlign w:val="bottom"/>
          </w:tcPr>
          <w:p>
            <w:pPr>
              <w:jc w:val="right"/>
              <w:spacing w:after="0"/>
              <w:rPr>
                <w:sz w:val="20"/>
                <w:szCs w:val="20"/>
                <w:color w:val="auto"/>
              </w:rPr>
            </w:pPr>
            <w:r>
              <w:rPr>
                <w:rFonts w:ascii="Arial" w:cs="Arial" w:eastAsia="Arial" w:hAnsi="Arial"/>
                <w:sz w:val="12"/>
                <w:szCs w:val="12"/>
                <w:color w:val="auto"/>
              </w:rPr>
              <w:t>$7.0B</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$7.2B</w:t>
            </w:r>
          </w:p>
        </w:tc>
        <w:tc>
          <w:tcPr>
            <w:tcW w:w="1360" w:type="dxa"/>
            <w:vAlign w:val="bottom"/>
          </w:tcPr>
          <w:p>
            <w:pPr>
              <w:jc w:val="right"/>
              <w:spacing w:after="0"/>
              <w:rPr>
                <w:sz w:val="20"/>
                <w:szCs w:val="20"/>
                <w:color w:val="auto"/>
              </w:rPr>
            </w:pPr>
            <w:r>
              <w:rPr>
                <w:rFonts w:ascii="Arial" w:cs="Arial" w:eastAsia="Arial" w:hAnsi="Arial"/>
                <w:sz w:val="12"/>
                <w:szCs w:val="12"/>
                <w:color w:val="auto"/>
              </w:rPr>
              <w:t>$7.35B</w:t>
            </w:r>
          </w:p>
        </w:tc>
        <w:tc>
          <w:tcPr>
            <w:tcW w:w="14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 $7.55B</w:t>
            </w:r>
          </w:p>
        </w:tc>
      </w:tr>
      <w:tr>
        <w:trPr>
          <w:trHeight w:val="180"/>
        </w:trPr>
        <w:tc>
          <w:tcPr>
            <w:tcW w:w="3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Organic Growth</w:t>
            </w:r>
          </w:p>
        </w:tc>
        <w:tc>
          <w:tcPr>
            <w:tcW w:w="1360" w:type="dxa"/>
            <w:vAlign w:val="bottom"/>
          </w:tcPr>
          <w:p>
            <w:pPr>
              <w:jc w:val="right"/>
              <w:spacing w:after="0"/>
              <w:rPr>
                <w:sz w:val="20"/>
                <w:szCs w:val="20"/>
                <w:color w:val="auto"/>
              </w:rPr>
            </w:pPr>
            <w:r>
              <w:rPr>
                <w:rFonts w:ascii="Arial" w:cs="Arial" w:eastAsia="Arial" w:hAnsi="Arial"/>
                <w:sz w:val="12"/>
                <w:szCs w:val="12"/>
                <w:color w:val="auto"/>
              </w:rPr>
              <w:t>(4%)</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(2%)</w:t>
            </w:r>
          </w:p>
        </w:tc>
        <w:tc>
          <w:tcPr>
            <w:tcW w:w="1360" w:type="dxa"/>
            <w:vAlign w:val="bottom"/>
          </w:tcPr>
          <w:p>
            <w:pPr>
              <w:jc w:val="right"/>
              <w:spacing w:after="0"/>
              <w:rPr>
                <w:sz w:val="20"/>
                <w:szCs w:val="20"/>
                <w:color w:val="auto"/>
              </w:rPr>
            </w:pPr>
            <w:r>
              <w:rPr>
                <w:rFonts w:ascii="Arial" w:cs="Arial" w:eastAsia="Arial" w:hAnsi="Arial"/>
                <w:sz w:val="12"/>
                <w:szCs w:val="12"/>
                <w:color w:val="auto"/>
              </w:rPr>
              <w:t>0%</w:t>
            </w:r>
          </w:p>
        </w:tc>
        <w:tc>
          <w:tcPr>
            <w:tcW w:w="14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- 3%</w:t>
            </w:r>
          </w:p>
        </w:tc>
      </w:tr>
      <w:tr>
        <w:trPr>
          <w:trHeight w:val="200"/>
        </w:trPr>
        <w:tc>
          <w:tcPr>
            <w:tcW w:w="3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Adjusted EBITDA</w:t>
            </w:r>
            <w:r>
              <w:rPr>
                <w:rFonts w:ascii="Arial" w:cs="Arial" w:eastAsia="Arial" w:hAnsi="Arial"/>
                <w:sz w:val="15"/>
                <w:szCs w:val="15"/>
                <w:color w:val="auto"/>
                <w:w w:val="96"/>
                <w:vertAlign w:val="superscript"/>
              </w:rPr>
              <w:t>(1)</w:t>
            </w:r>
          </w:p>
        </w:tc>
        <w:tc>
          <w:tcPr>
            <w:tcW w:w="1360" w:type="dxa"/>
            <w:vAlign w:val="bottom"/>
          </w:tcPr>
          <w:p>
            <w:pPr>
              <w:jc w:val="right"/>
              <w:spacing w:after="0"/>
              <w:rPr>
                <w:sz w:val="20"/>
                <w:szCs w:val="20"/>
                <w:color w:val="auto"/>
              </w:rPr>
            </w:pPr>
            <w:r>
              <w:rPr>
                <w:rFonts w:ascii="Arial" w:cs="Arial" w:eastAsia="Arial" w:hAnsi="Arial"/>
                <w:sz w:val="12"/>
                <w:szCs w:val="12"/>
                <w:color w:val="auto"/>
              </w:rPr>
              <w:t>$705M</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$715M</w:t>
            </w:r>
          </w:p>
        </w:tc>
        <w:tc>
          <w:tcPr>
            <w:tcW w:w="1360" w:type="dxa"/>
            <w:vAlign w:val="bottom"/>
          </w:tcPr>
          <w:p>
            <w:pPr>
              <w:jc w:val="right"/>
              <w:spacing w:after="0"/>
              <w:rPr>
                <w:sz w:val="20"/>
                <w:szCs w:val="20"/>
                <w:color w:val="auto"/>
              </w:rPr>
            </w:pPr>
            <w:r>
              <w:rPr>
                <w:rFonts w:ascii="Arial" w:cs="Arial" w:eastAsia="Arial" w:hAnsi="Arial"/>
                <w:sz w:val="12"/>
                <w:szCs w:val="12"/>
                <w:color w:val="auto"/>
              </w:rPr>
              <w:t>$725M</w:t>
            </w:r>
          </w:p>
        </w:tc>
        <w:tc>
          <w:tcPr>
            <w:tcW w:w="14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 $735M</w:t>
            </w:r>
          </w:p>
        </w:tc>
      </w:tr>
      <w:tr>
        <w:trPr>
          <w:trHeight w:val="180"/>
        </w:trPr>
        <w:tc>
          <w:tcPr>
            <w:tcW w:w="3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Adjusted EBITDA Margin %</w:t>
            </w:r>
            <w:r>
              <w:rPr>
                <w:rFonts w:ascii="Arial" w:cs="Arial" w:eastAsia="Arial" w:hAnsi="Arial"/>
                <w:sz w:val="15"/>
                <w:szCs w:val="15"/>
                <w:color w:val="auto"/>
                <w:w w:val="98"/>
                <w:vertAlign w:val="superscript"/>
              </w:rPr>
              <w:t>(1)</w:t>
            </w:r>
          </w:p>
        </w:tc>
        <w:tc>
          <w:tcPr>
            <w:tcW w:w="2820" w:type="dxa"/>
            <w:vAlign w:val="bottom"/>
            <w:tcBorders>
              <w:right w:val="single" w:sz="8" w:color="auto"/>
            </w:tcBorders>
            <w:gridSpan w:val="2"/>
          </w:tcPr>
          <w:p>
            <w:pPr>
              <w:jc w:val="right"/>
              <w:ind w:right="1000"/>
              <w:spacing w:after="0"/>
              <w:rPr>
                <w:sz w:val="20"/>
                <w:szCs w:val="20"/>
                <w:color w:val="auto"/>
              </w:rPr>
            </w:pPr>
            <w:r>
              <w:rPr>
                <w:rFonts w:ascii="Arial" w:cs="Arial" w:eastAsia="Arial" w:hAnsi="Arial"/>
                <w:sz w:val="12"/>
                <w:szCs w:val="12"/>
                <w:color w:val="auto"/>
              </w:rPr>
              <w:t>9.9% - 10.1%</w:t>
            </w:r>
          </w:p>
        </w:tc>
        <w:tc>
          <w:tcPr>
            <w:tcW w:w="1360" w:type="dxa"/>
            <w:vAlign w:val="bottom"/>
          </w:tcPr>
          <w:p>
            <w:pPr>
              <w:jc w:val="right"/>
              <w:spacing w:after="0"/>
              <w:rPr>
                <w:sz w:val="20"/>
                <w:szCs w:val="20"/>
                <w:color w:val="auto"/>
              </w:rPr>
            </w:pPr>
            <w:r>
              <w:rPr>
                <w:rFonts w:ascii="Arial" w:cs="Arial" w:eastAsia="Arial" w:hAnsi="Arial"/>
                <w:sz w:val="12"/>
                <w:szCs w:val="12"/>
                <w:color w:val="auto"/>
              </w:rPr>
              <w:t>9.7%</w:t>
            </w:r>
          </w:p>
        </w:tc>
        <w:tc>
          <w:tcPr>
            <w:tcW w:w="14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- 9.9%</w:t>
            </w:r>
          </w:p>
        </w:tc>
      </w:tr>
      <w:tr>
        <w:trPr>
          <w:trHeight w:val="176"/>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Free Cash Flow</w:t>
            </w:r>
            <w:r>
              <w:rPr>
                <w:rFonts w:ascii="Arial" w:cs="Arial" w:eastAsia="Arial" w:hAnsi="Arial"/>
                <w:sz w:val="15"/>
                <w:szCs w:val="15"/>
                <w:color w:val="auto"/>
                <w:w w:val="96"/>
                <w:vertAlign w:val="superscript"/>
              </w:rPr>
              <w:t>(1)</w:t>
            </w:r>
          </w:p>
        </w:tc>
        <w:tc>
          <w:tcPr>
            <w:tcW w:w="28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color w:val="auto"/>
                <w:w w:val="96"/>
              </w:rPr>
              <w:t>&gt;$600M</w:t>
            </w:r>
          </w:p>
        </w:tc>
        <w:tc>
          <w:tcPr>
            <w:tcW w:w="28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color w:val="auto"/>
              </w:rPr>
              <w:t>&gt;$600M</w:t>
            </w:r>
          </w:p>
        </w:tc>
      </w:tr>
    </w:tbl>
    <w:p>
      <w:pPr>
        <w:spacing w:after="0" w:line="17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vertAlign w:val="superscript"/>
        </w:rPr>
        <w:t>(1)</w:t>
      </w:r>
      <w:r>
        <w:rPr>
          <w:rFonts w:ascii="Arial" w:cs="Arial" w:eastAsia="Arial" w:hAnsi="Arial"/>
          <w:sz w:val="10"/>
          <w:szCs w:val="10"/>
          <w:i w:val="1"/>
          <w:iCs w:val="1"/>
          <w:color w:val="auto"/>
        </w:rPr>
        <w:t>Non-GAAP measure, please refer below for information about this measure.</w:t>
      </w:r>
    </w:p>
    <w:p>
      <w:pPr>
        <w:spacing w:after="0" w:line="90" w:lineRule="exact"/>
        <w:rPr>
          <w:sz w:val="20"/>
          <w:szCs w:val="20"/>
          <w:color w:val="auto"/>
        </w:rPr>
      </w:pPr>
    </w:p>
    <w:p>
      <w:pPr>
        <w:ind w:left="8" w:right="160"/>
        <w:spacing w:after="0" w:line="286" w:lineRule="auto"/>
        <w:rPr>
          <w:sz w:val="20"/>
          <w:szCs w:val="20"/>
          <w:color w:val="auto"/>
        </w:rPr>
      </w:pPr>
      <w:r>
        <w:rPr>
          <w:rFonts w:ascii="Arial" w:cs="Arial" w:eastAsia="Arial" w:hAnsi="Arial"/>
          <w:sz w:val="12"/>
          <w:szCs w:val="12"/>
          <w:color w:val="auto"/>
        </w:rPr>
        <w:t>The company expects to report its full fourth quarter and fiscal year 2026 results before the market opens on March 16, 2026, and will host a conference call and webcast to discuss the earnings release at 10:00 a.m. Eastern Time.</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Non-GAAP Financial Measures</w:t>
      </w:r>
    </w:p>
    <w:p>
      <w:pPr>
        <w:spacing w:after="0" w:line="123" w:lineRule="exact"/>
        <w:rPr>
          <w:sz w:val="20"/>
          <w:szCs w:val="20"/>
          <w:color w:val="auto"/>
        </w:rPr>
      </w:pPr>
    </w:p>
    <w:p>
      <w:pPr>
        <w:ind w:left="8" w:right="220"/>
        <w:spacing w:after="0" w:line="286" w:lineRule="auto"/>
        <w:rPr>
          <w:sz w:val="20"/>
          <w:szCs w:val="20"/>
          <w:color w:val="auto"/>
        </w:rPr>
      </w:pPr>
      <w:r>
        <w:rPr>
          <w:rFonts w:ascii="Arial" w:cs="Arial" w:eastAsia="Arial" w:hAnsi="Arial"/>
          <w:sz w:val="12"/>
          <w:szCs w:val="12"/>
          <w:color w:val="auto"/>
        </w:rPr>
        <w:t>Adjusted EBITDA is a performance measure that is calculated by taking net income and excluding interest and loss on sale of receivables, provision for income taxes, depreciation and amortization, acquisition, integration, restructuring and impairment costs, and any other material non-recurring costs.</w:t>
      </w:r>
    </w:p>
    <w:p>
      <w:pPr>
        <w:spacing w:after="0" w:line="85" w:lineRule="exact"/>
        <w:rPr>
          <w:sz w:val="20"/>
          <w:szCs w:val="20"/>
          <w:color w:val="auto"/>
        </w:rPr>
      </w:pPr>
    </w:p>
    <w:p>
      <w:pPr>
        <w:ind w:left="8"/>
        <w:spacing w:after="0" w:line="286" w:lineRule="auto"/>
        <w:rPr>
          <w:sz w:val="20"/>
          <w:szCs w:val="20"/>
          <w:color w:val="auto"/>
        </w:rPr>
      </w:pPr>
      <w:r>
        <w:rPr>
          <w:rFonts w:ascii="Arial" w:cs="Arial" w:eastAsia="Arial" w:hAnsi="Arial"/>
          <w:sz w:val="12"/>
          <w:szCs w:val="12"/>
          <w:color w:val="auto"/>
        </w:rPr>
        <w:t>Adjusted Diluted Earnings Per Share ("EPS") is a performance measure that is calculated by taking EPS and excluding the impact of non-recurring transactions and activities that we do not consider to be indicative of our ongoing operating performance.</w:t>
      </w:r>
    </w:p>
    <w:p>
      <w:pPr>
        <w:spacing w:after="0" w:line="76" w:lineRule="exact"/>
        <w:rPr>
          <w:sz w:val="20"/>
          <w:szCs w:val="20"/>
          <w:color w:val="auto"/>
        </w:rPr>
      </w:pPr>
    </w:p>
    <w:p>
      <w:pPr>
        <w:ind w:left="8" w:right="420"/>
        <w:spacing w:after="0" w:line="286" w:lineRule="auto"/>
        <w:rPr>
          <w:sz w:val="20"/>
          <w:szCs w:val="20"/>
          <w:color w:val="auto"/>
        </w:rPr>
      </w:pPr>
      <w:r>
        <w:rPr>
          <w:rFonts w:ascii="Arial" w:cs="Arial" w:eastAsia="Arial" w:hAnsi="Arial"/>
          <w:sz w:val="12"/>
          <w:szCs w:val="12"/>
          <w:color w:val="auto"/>
        </w:rPr>
        <w:t>Free Cash Flow is calculated by taking cash flows provided by operating activities less expenditures for property, plant, and equipment and less cash flows from our Master Accounts Receivable Purchasing Agreement (MARPA Facility) for the sale of certain designated eligible U.S. government receivables.</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About SAIC</w:t>
      </w:r>
    </w:p>
    <w:p>
      <w:pPr>
        <w:spacing w:after="0" w:line="132" w:lineRule="exact"/>
        <w:rPr>
          <w:sz w:val="20"/>
          <w:szCs w:val="20"/>
          <w:color w:val="auto"/>
        </w:rPr>
      </w:pPr>
    </w:p>
    <w:p>
      <w:pPr>
        <w:ind w:left="8" w:right="80"/>
        <w:spacing w:after="0" w:line="268" w:lineRule="auto"/>
        <w:rPr>
          <w:sz w:val="20"/>
          <w:szCs w:val="20"/>
          <w:color w:val="auto"/>
        </w:rPr>
      </w:pPr>
      <w:r>
        <w:rPr>
          <w:rFonts w:ascii="Arial" w:cs="Arial" w:eastAsia="Arial" w:hAnsi="Arial"/>
          <w:sz w:val="12"/>
          <w:szCs w:val="12"/>
          <w:color w:val="auto"/>
        </w:rPr>
        <w:t>SAIC® is a premier Fortune 500 mission integrator focused on advancing the power of technology and innovation to serve and protect our world. Our robust portfolio of offerings across the defense, space, civilian and intelligence customers includes secure high-end solutions in mission IT, enterprise IT, engineering services and professional services. We integrate emerging technology, rapidly and securely, into mission critical operations that modernize and enable critical national imperatives.</w:t>
      </w:r>
    </w:p>
    <w:p>
      <w:pPr>
        <w:spacing w:after="0" w:line="87" w:lineRule="exact"/>
        <w:rPr>
          <w:sz w:val="20"/>
          <w:szCs w:val="20"/>
          <w:color w:val="auto"/>
        </w:rPr>
      </w:pPr>
    </w:p>
    <w:p>
      <w:pPr>
        <w:ind w:left="8" w:right="300"/>
        <w:spacing w:after="0" w:line="286" w:lineRule="auto"/>
        <w:rPr>
          <w:sz w:val="20"/>
          <w:szCs w:val="20"/>
          <w:color w:val="auto"/>
        </w:rPr>
      </w:pPr>
      <w:r>
        <w:rPr>
          <w:rFonts w:ascii="Arial" w:cs="Arial" w:eastAsia="Arial" w:hAnsi="Arial"/>
          <w:sz w:val="12"/>
          <w:szCs w:val="12"/>
          <w:color w:val="auto"/>
        </w:rPr>
        <w:t>We are approximately 24,000 strong; driven by mission, united by purpose, and inspired by opportunities. Headquartered in Reston, Virginia, SAIC has annual revenues of approximately $7.5 billion. For more information, visit saic.com. For ongoing news, please visit our newsroom.</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Media Contact</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2"/>
          <w:szCs w:val="12"/>
          <w:color w:val="auto"/>
        </w:rPr>
        <w:t>Darryn James</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Director, Media and Brand Reputation</w:t>
      </w:r>
    </w:p>
    <w:p>
      <w:pPr>
        <w:spacing w:after="0" w:line="15" w:lineRule="exact"/>
        <w:rPr>
          <w:sz w:val="20"/>
          <w:szCs w:val="20"/>
          <w:color w:val="auto"/>
        </w:rPr>
      </w:pPr>
    </w:p>
    <w:p>
      <w:pPr>
        <w:ind w:left="8" w:right="9920" w:hanging="8"/>
        <w:spacing w:after="0" w:line="357" w:lineRule="auto"/>
        <w:tabs>
          <w:tab w:leader="none" w:pos="321" w:val="left"/>
        </w:tabs>
        <w:numPr>
          <w:ilvl w:val="0"/>
          <w:numId w:val="2"/>
        </w:numPr>
        <w:rPr>
          <w:rFonts w:ascii="Arial" w:cs="Arial" w:eastAsia="Arial" w:hAnsi="Arial"/>
          <w:sz w:val="11"/>
          <w:szCs w:val="11"/>
          <w:color w:val="auto"/>
        </w:rPr>
      </w:pPr>
      <w:r>
        <w:rPr>
          <w:rFonts w:ascii="Arial" w:cs="Arial" w:eastAsia="Arial" w:hAnsi="Arial"/>
          <w:sz w:val="11"/>
          <w:szCs w:val="11"/>
          <w:color w:val="auto"/>
        </w:rPr>
        <w:t>492-7834 publicrelations@saic.com</w:t>
      </w:r>
    </w:p>
    <w:p>
      <w:pPr>
        <w:sectPr>
          <w:pgSz w:w="11900" w:h="16838" w:orient="portrait"/>
          <w:cols w:equalWidth="0" w:num="1">
            <w:col w:w="11288"/>
          </w:cols>
          <w:pgMar w:left="292" w:top="1225" w:right="319" w:bottom="1440" w:gutter="0" w:footer="0" w:header="0"/>
        </w:sectPr>
      </w:pPr>
    </w:p>
    <w:bookmarkStart w:id="5" w:name="page6"/>
    <w:bookmarkEnd w:id="5"/>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0005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00050" cy="171450"/>
                    </a:xfrm>
                    <a:prstGeom prst="rect">
                      <a:avLst/>
                    </a:prstGeom>
                    <a:noFill/>
                  </pic:spPr>
                </pic:pic>
              </a:graphicData>
            </a:graphic>
          </wp:anchor>
        </w:drawing>
        <w:t>Investor Relations Contact</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2"/>
          <w:szCs w:val="12"/>
          <w:color w:val="auto"/>
        </w:rPr>
        <w:t>Jon Raviv</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2"/>
          <w:szCs w:val="12"/>
          <w:color w:val="auto"/>
        </w:rPr>
        <w:t>Vice President, Investor Relations</w:t>
      </w:r>
    </w:p>
    <w:p>
      <w:pPr>
        <w:spacing w:after="0" w:line="21" w:lineRule="exact"/>
        <w:rPr>
          <w:sz w:val="20"/>
          <w:szCs w:val="20"/>
          <w:color w:val="auto"/>
        </w:rPr>
      </w:pPr>
    </w:p>
    <w:p>
      <w:pPr>
        <w:ind w:left="8" w:right="9820" w:hanging="8"/>
        <w:spacing w:after="0" w:line="340" w:lineRule="auto"/>
        <w:tabs>
          <w:tab w:leader="none" w:pos="321" w:val="left"/>
        </w:tabs>
        <w:numPr>
          <w:ilvl w:val="0"/>
          <w:numId w:val="3"/>
        </w:numPr>
        <w:rPr>
          <w:rFonts w:ascii="Arial" w:cs="Arial" w:eastAsia="Arial" w:hAnsi="Arial"/>
          <w:sz w:val="11"/>
          <w:szCs w:val="11"/>
          <w:color w:val="auto"/>
        </w:rPr>
      </w:pPr>
      <w:r>
        <w:rPr>
          <w:rFonts w:ascii="Arial" w:cs="Arial" w:eastAsia="Arial" w:hAnsi="Arial"/>
          <w:sz w:val="11"/>
          <w:szCs w:val="11"/>
          <w:color w:val="auto"/>
        </w:rPr>
        <w:t>676-4432 investorrelations@saic.com</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Forward-Looking Statements</w:t>
      </w:r>
    </w:p>
    <w:p>
      <w:pPr>
        <w:spacing w:after="0" w:line="123" w:lineRule="exact"/>
        <w:rPr>
          <w:sz w:val="20"/>
          <w:szCs w:val="20"/>
          <w:color w:val="auto"/>
        </w:rPr>
      </w:pPr>
    </w:p>
    <w:p>
      <w:pPr>
        <w:ind w:left="8"/>
        <w:spacing w:after="0" w:line="254" w:lineRule="auto"/>
        <w:rPr>
          <w:sz w:val="20"/>
          <w:szCs w:val="20"/>
          <w:color w:val="auto"/>
        </w:rPr>
      </w:pPr>
      <w:r>
        <w:rPr>
          <w:rFonts w:ascii="Arial" w:cs="Arial" w:eastAsia="Arial" w:hAnsi="Arial"/>
          <w:sz w:val="12"/>
          <w:szCs w:val="12"/>
          <w:color w:val="auto"/>
        </w:rPr>
        <w:t>Forward-Looking Statements 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may include, among others, estimates of future revenues, operating income, earnings, earnings per share, charges, total contract value, backlog, outstanding shares and cash flows, as well as statements about future dividends, share repurchases and other capital deployment plans.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 Analysis of Financial Condition and Results of Operations” and “Legal Proceedings” sections of our Annual Report on Form 10-K, as updated in any subsequent Quarterly Reports on Form 10-Q and other filings with the SEC, which may be viewed or obtained through the Investor Relations section of our website at saic.com or on the SEC’s website at sec.gov. Due to such risks, uncertainties and assumptions you are cautioned not to place undue reliance on such forward-looking statements, which speak only as of the date hereof. SAIC expressly disclaims any duty to update any forward-looking statement provided in this release to reflect subsequent events, actual results or changes in SAIC’s expectations. SAIC also disclaims any duty to comment upon or correct information that may be contained in reports published by investment analysts or others.</w:t>
      </w:r>
    </w:p>
    <w:p>
      <w:pPr>
        <w:sectPr>
          <w:pgSz w:w="11900" w:h="16838" w:orient="portrait"/>
          <w:cols w:equalWidth="0" w:num="1">
            <w:col w:w="11288"/>
          </w:cols>
          <w:pgMar w:left="292" w:top="955" w:right="319" w:bottom="1440" w:gutter="0" w:footer="0" w:header="0"/>
        </w:sectPr>
      </w:pPr>
    </w:p>
    <w:bookmarkStart w:id="6" w:name="page7"/>
    <w:bookmarkEnd w:id="6"/>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02"/>
    </w:lvl>
  </w:abstractNum>
  <w:abstractNum w:abstractNumId="2">
    <w:nsid w:val="19495CFF"/>
    <w:multiLevelType w:val="hybridMultilevel"/>
    <w:lvl w:ilvl="0">
      <w:lvlJc w:val="left"/>
      <w:lvlText w:val="(%1)"/>
      <w:numFmt w:val="decimal"/>
      <w:start w:val="70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2026-02-11T05:58:39Z</dcterms:created>
  <dcterms:modified xsi:type="dcterms:W3CDTF">2026-02-11T05:58:39Z</dcterms:modified>
</cp:coreProperties>
</file>