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620395</wp:posOffset>
            </wp:positionV>
            <wp:extent cx="68237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page">
              <wp:posOffset>362585</wp:posOffset>
            </wp:positionH>
            <wp:positionV relativeFrom="page">
              <wp:posOffset>534670</wp:posOffset>
            </wp:positionV>
            <wp:extent cx="6823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jc w:val="center"/>
        <w:ind w:right="-795"/>
        <w:spacing w:after="0"/>
        <w:rPr>
          <w:sz w:val="20"/>
          <w:szCs w:val="20"/>
          <w:color w:val="auto"/>
        </w:rPr>
      </w:pPr>
      <w:r>
        <w:rPr>
          <w:rFonts w:ascii="Arial" w:cs="Arial" w:eastAsia="Arial" w:hAnsi="Arial"/>
          <w:sz w:val="32"/>
          <w:szCs w:val="32"/>
          <w:color w:val="010202"/>
        </w:rPr>
        <w:t>UNITED STATES</w:t>
      </w:r>
    </w:p>
    <w:p>
      <w:pPr>
        <w:spacing w:after="0" w:line="10" w:lineRule="exact"/>
        <w:rPr>
          <w:sz w:val="24"/>
          <w:szCs w:val="24"/>
          <w:color w:val="auto"/>
        </w:rPr>
      </w:pPr>
    </w:p>
    <w:p>
      <w:pPr>
        <w:jc w:val="center"/>
        <w:ind w:right="-795"/>
        <w:spacing w:after="0"/>
        <w:rPr>
          <w:sz w:val="20"/>
          <w:szCs w:val="20"/>
          <w:color w:val="auto"/>
        </w:rPr>
      </w:pPr>
      <w:r>
        <w:rPr>
          <w:rFonts w:ascii="Arial" w:cs="Arial" w:eastAsia="Arial" w:hAnsi="Arial"/>
          <w:sz w:val="32"/>
          <w:szCs w:val="32"/>
          <w:color w:val="010202"/>
        </w:rPr>
        <w:t>SECURITIES AND EXCHANGE COMMISSION</w:t>
      </w:r>
    </w:p>
    <w:p>
      <w:pPr>
        <w:spacing w:after="0" w:line="3" w:lineRule="exact"/>
        <w:rPr>
          <w:sz w:val="24"/>
          <w:szCs w:val="24"/>
          <w:color w:val="auto"/>
        </w:rPr>
      </w:pPr>
    </w:p>
    <w:p>
      <w:pPr>
        <w:ind w:left="4236"/>
        <w:spacing w:after="0"/>
        <w:rPr>
          <w:sz w:val="20"/>
          <w:szCs w:val="20"/>
          <w:color w:val="auto"/>
        </w:rPr>
      </w:pPr>
      <w:r>
        <w:rPr>
          <w:rFonts w:ascii="Arial" w:cs="Arial" w:eastAsia="Arial" w:hAnsi="Arial"/>
          <w:sz w:val="20"/>
          <w:szCs w:val="20"/>
          <w:b w:val="1"/>
          <w:bCs w:val="1"/>
          <w:color w:val="auto"/>
        </w:rPr>
        <w:t>Washington, D.C. 20549</w:t>
      </w:r>
    </w:p>
    <w:p>
      <w:pPr>
        <w:spacing w:after="0" w:line="371" w:lineRule="exact"/>
        <w:rPr>
          <w:sz w:val="24"/>
          <w:szCs w:val="24"/>
          <w:color w:val="auto"/>
        </w:rPr>
      </w:pPr>
    </w:p>
    <w:p>
      <w:pPr>
        <w:ind w:left="3816"/>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44" w:lineRule="exact"/>
        <w:rPr>
          <w:sz w:val="24"/>
          <w:szCs w:val="24"/>
          <w:color w:val="auto"/>
        </w:rPr>
      </w:pPr>
    </w:p>
    <w:p>
      <w:pPr>
        <w:ind w:left="4596"/>
        <w:spacing w:after="0"/>
        <w:rPr>
          <w:sz w:val="20"/>
          <w:szCs w:val="20"/>
          <w:color w:val="auto"/>
        </w:rPr>
      </w:pPr>
      <w:r>
        <w:rPr>
          <w:rFonts w:ascii="Arial" w:cs="Arial" w:eastAsia="Arial" w:hAnsi="Arial"/>
          <w:sz w:val="32"/>
          <w:szCs w:val="32"/>
          <w:color w:val="auto"/>
        </w:rPr>
        <w:t>Form 11-K</w:t>
      </w:r>
    </w:p>
    <w:p>
      <w:pPr>
        <w:spacing w:after="0" w:line="186" w:lineRule="exact"/>
        <w:rPr>
          <w:sz w:val="24"/>
          <w:szCs w:val="24"/>
          <w:color w:val="auto"/>
        </w:rPr>
      </w:pPr>
    </w:p>
    <w:p>
      <w:pPr>
        <w:ind w:left="3816"/>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200" w:lineRule="exact"/>
        <w:rPr>
          <w:sz w:val="24"/>
          <w:szCs w:val="24"/>
          <w:color w:val="auto"/>
        </w:rPr>
      </w:pPr>
    </w:p>
    <w:p>
      <w:pPr>
        <w:spacing w:after="0" w:line="362" w:lineRule="exact"/>
        <w:rPr>
          <w:sz w:val="24"/>
          <w:szCs w:val="24"/>
          <w:color w:val="auto"/>
        </w:rPr>
      </w:pPr>
    </w:p>
    <w:p>
      <w:pPr>
        <w:ind w:left="1436" w:hanging="1355"/>
        <w:spacing w:after="0"/>
        <w:tabs>
          <w:tab w:leader="none" w:pos="1436"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15(d) OF THE SECURITIES EXCHANGE ACT OF 1934</w:t>
      </w:r>
    </w:p>
    <w:p>
      <w:pPr>
        <w:spacing w:after="0" w:line="200" w:lineRule="exact"/>
        <w:rPr>
          <w:sz w:val="24"/>
          <w:szCs w:val="24"/>
          <w:color w:val="auto"/>
        </w:rPr>
      </w:pPr>
    </w:p>
    <w:p>
      <w:pPr>
        <w:spacing w:after="0" w:line="371" w:lineRule="exact"/>
        <w:rPr>
          <w:sz w:val="24"/>
          <w:szCs w:val="24"/>
          <w:color w:val="auto"/>
        </w:rPr>
      </w:pPr>
    </w:p>
    <w:p>
      <w:pPr>
        <w:ind w:left="3456"/>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00" w:lineRule="exact"/>
        <w:rPr>
          <w:sz w:val="24"/>
          <w:szCs w:val="24"/>
          <w:color w:val="auto"/>
        </w:rPr>
      </w:pPr>
    </w:p>
    <w:p>
      <w:pPr>
        <w:spacing w:after="0" w:line="218" w:lineRule="exact"/>
        <w:rPr>
          <w:sz w:val="24"/>
          <w:szCs w:val="24"/>
          <w:color w:val="auto"/>
        </w:rPr>
      </w:pPr>
    </w:p>
    <w:p>
      <w:pPr>
        <w:ind w:left="1276" w:hanging="1276"/>
        <w:spacing w:after="0"/>
        <w:tabs>
          <w:tab w:leader="none" w:pos="1276" w:val="left"/>
        </w:tabs>
        <w:numPr>
          <w:ilvl w:val="0"/>
          <w:numId w:val="2"/>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TRANSITION REPORT PURSUANT TO SECTION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795"/>
        <w:spacing w:after="0"/>
        <w:rPr>
          <w:sz w:val="20"/>
          <w:szCs w:val="20"/>
          <w:color w:val="auto"/>
        </w:rPr>
      </w:pPr>
      <w:r>
        <w:rPr>
          <w:rFonts w:ascii="Arial" w:cs="Arial" w:eastAsia="Arial" w:hAnsi="Arial"/>
          <w:sz w:val="18"/>
          <w:szCs w:val="18"/>
          <w:b w:val="1"/>
          <w:bCs w:val="1"/>
          <w:color w:val="010202"/>
        </w:rPr>
        <w:t>For the transition period from to</w:t>
      </w:r>
    </w:p>
    <w:p>
      <w:pPr>
        <w:spacing w:after="0" w:line="185" w:lineRule="exact"/>
        <w:rPr>
          <w:sz w:val="24"/>
          <w:szCs w:val="24"/>
          <w:color w:val="auto"/>
        </w:rPr>
      </w:pPr>
    </w:p>
    <w:p>
      <w:pPr>
        <w:jc w:val="center"/>
        <w:ind w:right="-795"/>
        <w:spacing w:after="0"/>
        <w:rPr>
          <w:sz w:val="20"/>
          <w:szCs w:val="20"/>
          <w:color w:val="auto"/>
        </w:rPr>
      </w:pPr>
      <w:r>
        <w:rPr>
          <w:rFonts w:ascii="Arial" w:cs="Arial" w:eastAsia="Arial" w:hAnsi="Arial"/>
          <w:sz w:val="18"/>
          <w:szCs w:val="18"/>
          <w:b w:val="1"/>
          <w:bCs w:val="1"/>
          <w:color w:val="010202"/>
        </w:rPr>
        <w:t>Commission file number: 001-35832</w:t>
      </w:r>
    </w:p>
    <w:p>
      <w:pPr>
        <w:spacing w:after="0" w:line="30" w:lineRule="exact"/>
        <w:rPr>
          <w:sz w:val="24"/>
          <w:szCs w:val="24"/>
          <w:color w:val="auto"/>
        </w:rPr>
      </w:pPr>
    </w:p>
    <w:p>
      <w:pPr>
        <w:ind w:left="3816"/>
        <w:spacing w:after="0"/>
        <w:rPr>
          <w:sz w:val="20"/>
          <w:szCs w:val="20"/>
          <w:color w:val="auto"/>
        </w:rPr>
      </w:pPr>
      <w:r>
        <w:rPr>
          <w:rFonts w:ascii="Arial" w:cs="Arial" w:eastAsia="Arial" w:hAnsi="Arial"/>
          <w:sz w:val="11"/>
          <w:szCs w:val="11"/>
          <w:color w:val="auto"/>
        </w:rPr>
        <w:t>_________________________________________________________</w:t>
      </w:r>
    </w:p>
    <w:p>
      <w:pPr>
        <w:sectPr>
          <w:pgSz w:w="11900" w:h="16838" w:orient="portrait"/>
          <w:cols w:equalWidth="0" w:num="1">
            <w:col w:w="9916"/>
          </w:cols>
          <w:pgMar w:left="584" w:top="1440" w:right="1399" w:bottom="1440" w:gutter="0" w:footer="0" w:header="0"/>
        </w:sectPr>
      </w:pPr>
    </w:p>
    <w:p>
      <w:pPr>
        <w:spacing w:after="0" w:line="200" w:lineRule="exact"/>
        <w:rPr>
          <w:sz w:val="24"/>
          <w:szCs w:val="24"/>
          <w:color w:val="auto"/>
        </w:rPr>
      </w:pPr>
    </w:p>
    <w:p>
      <w:pPr>
        <w:spacing w:after="0" w:line="268" w:lineRule="exact"/>
        <w:rPr>
          <w:sz w:val="24"/>
          <w:szCs w:val="24"/>
          <w:color w:val="auto"/>
        </w:rPr>
      </w:pPr>
    </w:p>
    <w:p>
      <w:pPr>
        <w:ind w:left="16"/>
        <w:spacing w:after="0"/>
        <w:rPr>
          <w:sz w:val="20"/>
          <w:szCs w:val="20"/>
          <w:color w:val="auto"/>
        </w:rPr>
      </w:pPr>
      <w:r>
        <w:rPr>
          <w:rFonts w:ascii="Arial" w:cs="Arial" w:eastAsia="Arial" w:hAnsi="Arial"/>
          <w:sz w:val="18"/>
          <w:szCs w:val="18"/>
          <w:color w:val="010202"/>
        </w:rPr>
        <w: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7"/>
          <w:szCs w:val="17"/>
          <w:color w:val="010202"/>
        </w:rPr>
        <w:t>Full title of plan and the address of the plan, if different from that of the issuer named below:</w:t>
      </w:r>
    </w:p>
    <w:p>
      <w:pPr>
        <w:spacing w:after="0" w:line="211" w:lineRule="exact"/>
        <w:rPr>
          <w:sz w:val="24"/>
          <w:szCs w:val="24"/>
          <w:color w:val="auto"/>
        </w:rPr>
      </w:pPr>
    </w:p>
    <w:p>
      <w:pPr>
        <w:sectPr>
          <w:pgSz w:w="11900" w:h="16838" w:orient="portrait"/>
          <w:cols w:equalWidth="0" w:num="2">
            <w:col w:w="1236" w:space="720"/>
            <w:col w:w="7960"/>
          </w:cols>
          <w:pgMar w:left="584" w:top="1440" w:right="1399" w:bottom="144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ind w:left="1016"/>
        <w:spacing w:after="0"/>
        <w:rPr>
          <w:sz w:val="20"/>
          <w:szCs w:val="20"/>
          <w:color w:val="auto"/>
        </w:rPr>
      </w:pPr>
      <w:r>
        <w:rPr>
          <w:rFonts w:ascii="Arial" w:cs="Arial" w:eastAsia="Arial" w:hAnsi="Arial"/>
          <w:sz w:val="28"/>
          <w:szCs w:val="28"/>
          <w:b w:val="1"/>
          <w:bCs w:val="1"/>
          <w:color w:val="010202"/>
        </w:rPr>
        <w:t>Science Applications International Corporation Retirement Plan</w:t>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1416" w:hanging="1396"/>
        <w:spacing w:after="0"/>
        <w:tabs>
          <w:tab w:leader="none" w:pos="1416" w:val="left"/>
        </w:tabs>
        <w:numPr>
          <w:ilvl w:val="0"/>
          <w:numId w:val="3"/>
        </w:numPr>
        <w:rPr>
          <w:rFonts w:ascii="Arial" w:cs="Arial" w:eastAsia="Arial" w:hAnsi="Arial"/>
          <w:sz w:val="17"/>
          <w:szCs w:val="17"/>
          <w:color w:val="010202"/>
        </w:rPr>
      </w:pPr>
      <w:r>
        <w:rPr>
          <w:rFonts w:ascii="Arial" w:cs="Arial" w:eastAsia="Arial" w:hAnsi="Arial"/>
          <w:sz w:val="17"/>
          <w:szCs w:val="17"/>
          <w:color w:val="010202"/>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795"/>
        <w:spacing w:after="0"/>
        <w:rPr>
          <w:sz w:val="20"/>
          <w:szCs w:val="20"/>
          <w:color w:val="auto"/>
        </w:rPr>
      </w:pPr>
      <w:r>
        <w:rPr>
          <w:rFonts w:ascii="Arial" w:cs="Arial" w:eastAsia="Arial" w:hAnsi="Arial"/>
          <w:sz w:val="22"/>
          <w:szCs w:val="22"/>
          <w:b w:val="1"/>
          <w:bCs w:val="1"/>
          <w:color w:val="010202"/>
        </w:rPr>
        <w:t>Science Applications International Corporation</w:t>
      </w:r>
    </w:p>
    <w:p>
      <w:pPr>
        <w:spacing w:after="0" w:line="30" w:lineRule="exact"/>
        <w:rPr>
          <w:sz w:val="24"/>
          <w:szCs w:val="24"/>
          <w:color w:val="auto"/>
        </w:rPr>
      </w:pPr>
    </w:p>
    <w:p>
      <w:pPr>
        <w:jc w:val="center"/>
        <w:ind w:right="-795"/>
        <w:spacing w:after="0"/>
        <w:rPr>
          <w:sz w:val="20"/>
          <w:szCs w:val="20"/>
          <w:color w:val="auto"/>
        </w:rPr>
      </w:pPr>
      <w:r>
        <w:rPr>
          <w:rFonts w:ascii="Arial" w:cs="Arial" w:eastAsia="Arial" w:hAnsi="Arial"/>
          <w:sz w:val="22"/>
          <w:szCs w:val="22"/>
          <w:b w:val="1"/>
          <w:bCs w:val="1"/>
          <w:color w:val="010202"/>
        </w:rPr>
        <w:t>12010 Sunset Hills Road</w:t>
      </w:r>
    </w:p>
    <w:p>
      <w:pPr>
        <w:spacing w:after="0" w:line="4" w:lineRule="exact"/>
        <w:rPr>
          <w:sz w:val="24"/>
          <w:szCs w:val="24"/>
          <w:color w:val="auto"/>
        </w:rPr>
      </w:pPr>
    </w:p>
    <w:p>
      <w:pPr>
        <w:jc w:val="center"/>
        <w:ind w:right="-795"/>
        <w:spacing w:after="0"/>
        <w:rPr>
          <w:sz w:val="20"/>
          <w:szCs w:val="20"/>
          <w:color w:val="auto"/>
        </w:rPr>
      </w:pPr>
      <w:r>
        <w:rPr>
          <w:rFonts w:ascii="Arial" w:cs="Arial" w:eastAsia="Arial" w:hAnsi="Arial"/>
          <w:sz w:val="22"/>
          <w:szCs w:val="22"/>
          <w:b w:val="1"/>
          <w:bCs w:val="1"/>
          <w:color w:val="010202"/>
        </w:rPr>
        <w:t>Reston, VA 20190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581025</wp:posOffset>
            </wp:positionV>
            <wp:extent cx="68237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495300</wp:posOffset>
            </wp:positionV>
            <wp:extent cx="6823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3710" cy="8890"/>
                    </a:xfrm>
                    <a:prstGeom prst="rect">
                      <a:avLst/>
                    </a:prstGeom>
                    <a:noFill/>
                  </pic:spPr>
                </pic:pic>
              </a:graphicData>
            </a:graphic>
          </wp:anchor>
        </w:drawing>
      </w:r>
    </w:p>
    <w:p>
      <w:pPr>
        <w:sectPr>
          <w:pgSz w:w="11900" w:h="16838" w:orient="portrait"/>
          <w:cols w:equalWidth="0" w:num="1">
            <w:col w:w="9916"/>
          </w:cols>
          <w:pgMar w:left="584" w:top="1440" w:right="1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68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Page</w:t>
            </w:r>
          </w:p>
        </w:tc>
      </w:tr>
      <w:tr>
        <w:trPr>
          <w:trHeight w:val="550"/>
        </w:trPr>
        <w:tc>
          <w:tcPr>
            <w:tcW w:w="10680" w:type="dxa"/>
            <w:vAlign w:val="bottom"/>
          </w:tcPr>
          <w:p>
            <w:pPr>
              <w:ind w:left="40"/>
              <w:spacing w:after="0"/>
              <w:rPr>
                <w:rFonts w:ascii="Arial" w:cs="Arial" w:eastAsia="Arial" w:hAnsi="Arial"/>
                <w:sz w:val="17"/>
                <w:szCs w:val="17"/>
                <w:u w:val="single" w:color="auto"/>
                <w:color w:val="2B4C9B"/>
              </w:rPr>
            </w:pPr>
            <w:hyperlink w:anchor="page3">
              <w:r>
                <w:rPr>
                  <w:rFonts w:ascii="Arial" w:cs="Arial" w:eastAsia="Arial" w:hAnsi="Arial"/>
                  <w:sz w:val="17"/>
                  <w:szCs w:val="17"/>
                  <w:u w:val="single" w:color="auto"/>
                  <w:color w:val="2B4C9B"/>
                </w:rPr>
                <w:t>REPORT OF INDEPENDENT REGISTERED PUBLIC ACCOUNTING FIRM</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567"/>
        </w:trPr>
        <w:tc>
          <w:tcPr>
            <w:tcW w:w="10680" w:type="dxa"/>
            <w:vAlign w:val="bottom"/>
          </w:tcPr>
          <w:p>
            <w:pPr>
              <w:ind w:left="40"/>
              <w:spacing w:after="0"/>
              <w:rPr>
                <w:sz w:val="20"/>
                <w:szCs w:val="20"/>
                <w:color w:val="auto"/>
              </w:rPr>
            </w:pPr>
            <w:r>
              <w:rPr>
                <w:rFonts w:ascii="Arial" w:cs="Arial" w:eastAsia="Arial" w:hAnsi="Arial"/>
                <w:sz w:val="17"/>
                <w:szCs w:val="17"/>
                <w:color w:val="auto"/>
              </w:rPr>
              <w:t>FINANCIAL STATEMENTS</w:t>
            </w:r>
          </w:p>
        </w:tc>
        <w:tc>
          <w:tcPr>
            <w:tcW w:w="560" w:type="dxa"/>
            <w:vAlign w:val="bottom"/>
          </w:tcPr>
          <w:p>
            <w:pPr>
              <w:spacing w:after="0"/>
              <w:rPr>
                <w:sz w:val="24"/>
                <w:szCs w:val="24"/>
                <w:color w:val="auto"/>
              </w:rPr>
            </w:pPr>
          </w:p>
        </w:tc>
      </w:tr>
      <w:tr>
        <w:trPr>
          <w:trHeight w:val="270"/>
        </w:trPr>
        <w:tc>
          <w:tcPr>
            <w:tcW w:w="10680" w:type="dxa"/>
            <w:vAlign w:val="bottom"/>
          </w:tcPr>
          <w:p>
            <w:pPr>
              <w:ind w:left="520"/>
              <w:spacing w:after="0"/>
              <w:rPr>
                <w:rFonts w:ascii="Arial" w:cs="Arial" w:eastAsia="Arial" w:hAnsi="Arial"/>
                <w:sz w:val="17"/>
                <w:szCs w:val="17"/>
                <w:u w:val="single" w:color="auto"/>
                <w:color w:val="2B4C9B"/>
              </w:rPr>
            </w:pPr>
            <w:hyperlink w:anchor="page4">
              <w:r>
                <w:rPr>
                  <w:rFonts w:ascii="Arial" w:cs="Arial" w:eastAsia="Arial" w:hAnsi="Arial"/>
                  <w:sz w:val="17"/>
                  <w:szCs w:val="17"/>
                  <w:u w:val="single" w:color="auto"/>
                  <w:color w:val="2B4C9B"/>
                </w:rPr>
                <w:t>Statements of Net Assets Available for Benefits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70"/>
        </w:trPr>
        <w:tc>
          <w:tcPr>
            <w:tcW w:w="10680" w:type="dxa"/>
            <w:vAlign w:val="bottom"/>
          </w:tcPr>
          <w:p>
            <w:pPr>
              <w:ind w:left="520"/>
              <w:spacing w:after="0"/>
              <w:rPr>
                <w:rFonts w:ascii="Arial" w:cs="Arial" w:eastAsia="Arial" w:hAnsi="Arial"/>
                <w:sz w:val="17"/>
                <w:szCs w:val="17"/>
                <w:u w:val="single" w:color="auto"/>
                <w:color w:val="2B4C9B"/>
              </w:rPr>
            </w:pPr>
            <w:hyperlink w:anchor="page5">
              <w:r>
                <w:rPr>
                  <w:rFonts w:ascii="Arial" w:cs="Arial" w:eastAsia="Arial" w:hAnsi="Arial"/>
                  <w:sz w:val="17"/>
                  <w:szCs w:val="17"/>
                  <w:u w:val="single" w:color="auto"/>
                  <w:color w:val="2B4C9B"/>
                </w:rPr>
                <w:t>Statements of Changes in Net Assets Available for Benefits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70"/>
        </w:trPr>
        <w:tc>
          <w:tcPr>
            <w:tcW w:w="10680" w:type="dxa"/>
            <w:vAlign w:val="bottom"/>
          </w:tcPr>
          <w:p>
            <w:pPr>
              <w:ind w:left="520"/>
              <w:spacing w:after="0"/>
              <w:rPr>
                <w:rFonts w:ascii="Arial" w:cs="Arial" w:eastAsia="Arial" w:hAnsi="Arial"/>
                <w:sz w:val="17"/>
                <w:szCs w:val="17"/>
                <w:u w:val="single" w:color="auto"/>
                <w:color w:val="2B4C9B"/>
              </w:rPr>
            </w:pPr>
            <w:hyperlink w:anchor="page6">
              <w:r>
                <w:rPr>
                  <w:rFonts w:ascii="Arial" w:cs="Arial" w:eastAsia="Arial" w:hAnsi="Arial"/>
                  <w:sz w:val="17"/>
                  <w:szCs w:val="17"/>
                  <w:u w:val="single" w:color="auto"/>
                  <w:color w:val="2B4C9B"/>
                </w:rPr>
                <w:t>Notes to Financial Statements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567"/>
        </w:trPr>
        <w:tc>
          <w:tcPr>
            <w:tcW w:w="10680" w:type="dxa"/>
            <w:vAlign w:val="bottom"/>
          </w:tcPr>
          <w:p>
            <w:pPr>
              <w:ind w:left="40"/>
              <w:spacing w:after="0"/>
              <w:rPr>
                <w:sz w:val="20"/>
                <w:szCs w:val="20"/>
                <w:color w:val="auto"/>
              </w:rPr>
            </w:pPr>
            <w:r>
              <w:rPr>
                <w:rFonts w:ascii="Arial" w:cs="Arial" w:eastAsia="Arial" w:hAnsi="Arial"/>
                <w:sz w:val="17"/>
                <w:szCs w:val="17"/>
                <w:color w:val="auto"/>
              </w:rPr>
              <w:t>SUPPLEMENTAL SCHEDULE</w:t>
            </w:r>
          </w:p>
        </w:tc>
        <w:tc>
          <w:tcPr>
            <w:tcW w:w="560" w:type="dxa"/>
            <w:vAlign w:val="bottom"/>
          </w:tcPr>
          <w:p>
            <w:pPr>
              <w:spacing w:after="0"/>
              <w:rPr>
                <w:sz w:val="24"/>
                <w:szCs w:val="24"/>
                <w:color w:val="auto"/>
              </w:rPr>
            </w:pPr>
          </w:p>
        </w:tc>
      </w:tr>
      <w:tr>
        <w:trPr>
          <w:trHeight w:val="270"/>
        </w:trPr>
        <w:tc>
          <w:tcPr>
            <w:tcW w:w="10680" w:type="dxa"/>
            <w:vAlign w:val="bottom"/>
          </w:tcPr>
          <w:p>
            <w:pPr>
              <w:ind w:left="520"/>
              <w:spacing w:after="0"/>
              <w:rPr>
                <w:rFonts w:ascii="Arial" w:cs="Arial" w:eastAsia="Arial" w:hAnsi="Arial"/>
                <w:sz w:val="17"/>
                <w:szCs w:val="17"/>
                <w:u w:val="single" w:color="auto"/>
                <w:color w:val="2B4C9B"/>
              </w:rPr>
            </w:pPr>
            <w:hyperlink w:anchor="page10">
              <w:r>
                <w:rPr>
                  <w:rFonts w:ascii="Arial" w:cs="Arial" w:eastAsia="Arial" w:hAnsi="Arial"/>
                  <w:sz w:val="17"/>
                  <w:szCs w:val="17"/>
                  <w:u w:val="single" w:color="auto"/>
                  <w:color w:val="2B4C9B"/>
                </w:rPr>
                <w:t>Form 5500, Schedule H, Part IV, Line 4i—Schedule of Assets (Held at End of Year)</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567"/>
        </w:trPr>
        <w:tc>
          <w:tcPr>
            <w:tcW w:w="10680" w:type="dxa"/>
            <w:vAlign w:val="bottom"/>
          </w:tcPr>
          <w:p>
            <w:pPr>
              <w:ind w:left="40"/>
              <w:spacing w:after="0"/>
              <w:rPr>
                <w:rFonts w:ascii="Arial" w:cs="Arial" w:eastAsia="Arial" w:hAnsi="Arial"/>
                <w:sz w:val="17"/>
                <w:szCs w:val="17"/>
                <w:u w:val="single" w:color="auto"/>
                <w:color w:val="2B4C9B"/>
              </w:rPr>
            </w:pPr>
            <w:hyperlink w:anchor="page11">
              <w:r>
                <w:rPr>
                  <w:rFonts w:ascii="Arial" w:cs="Arial" w:eastAsia="Arial" w:hAnsi="Arial"/>
                  <w:sz w:val="17"/>
                  <w:szCs w:val="17"/>
                  <w:u w:val="single" w:color="auto"/>
                  <w:color w:val="2B4C9B"/>
                </w:rPr>
                <w:t>SIGNATURE</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567"/>
        </w:trPr>
        <w:tc>
          <w:tcPr>
            <w:tcW w:w="10680" w:type="dxa"/>
            <w:vAlign w:val="bottom"/>
          </w:tcPr>
          <w:p>
            <w:pPr>
              <w:ind w:left="40"/>
              <w:spacing w:after="0"/>
              <w:rPr>
                <w:rFonts w:ascii="Arial" w:cs="Arial" w:eastAsia="Arial" w:hAnsi="Arial"/>
                <w:sz w:val="17"/>
                <w:szCs w:val="17"/>
                <w:u w:val="single" w:color="auto"/>
                <w:color w:val="2B4C9B"/>
              </w:rPr>
            </w:pPr>
            <w:hyperlink w:anchor="page12">
              <w:r>
                <w:rPr>
                  <w:rFonts w:ascii="Arial" w:cs="Arial" w:eastAsia="Arial" w:hAnsi="Arial"/>
                  <w:sz w:val="17"/>
                  <w:szCs w:val="17"/>
                  <w:u w:val="single" w:color="auto"/>
                  <w:color w:val="2B4C9B"/>
                </w:rPr>
                <w:t>EXHIBIT INDEX</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30"/>
        </w:trPr>
        <w:tc>
          <w:tcPr>
            <w:tcW w:w="10680" w:type="dxa"/>
            <w:vAlign w:val="bottom"/>
          </w:tcPr>
          <w:p>
            <w:pPr>
              <w:spacing w:after="0"/>
              <w:rPr>
                <w:sz w:val="20"/>
                <w:szCs w:val="20"/>
                <w:color w:val="auto"/>
              </w:rPr>
            </w:pPr>
            <w:r>
              <w:rPr>
                <w:rFonts w:ascii="Arial" w:cs="Arial" w:eastAsia="Arial" w:hAnsi="Arial"/>
                <w:sz w:val="17"/>
                <w:szCs w:val="17"/>
                <w:color w:val="010202"/>
              </w:rPr>
              <w:t>NOTE: All other schedules required by Section 29 CFR 2520.103-10 of the Department of Labor’s Rules and Regulations for Reporting and</w:t>
            </w:r>
          </w:p>
        </w:tc>
        <w:tc>
          <w:tcPr>
            <w:tcW w:w="560" w:type="dxa"/>
            <w:vAlign w:val="bottom"/>
          </w:tcPr>
          <w:p>
            <w:pPr>
              <w:spacing w:after="0"/>
              <w:rPr>
                <w:sz w:val="24"/>
                <w:szCs w:val="24"/>
                <w:color w:val="auto"/>
              </w:rPr>
            </w:pPr>
          </w:p>
        </w:tc>
      </w:tr>
      <w:tr>
        <w:trPr>
          <w:trHeight w:val="205"/>
        </w:trPr>
        <w:tc>
          <w:tcPr>
            <w:tcW w:w="10680" w:type="dxa"/>
            <w:vAlign w:val="bottom"/>
          </w:tcPr>
          <w:p>
            <w:pPr>
              <w:spacing w:after="0"/>
              <w:rPr>
                <w:sz w:val="20"/>
                <w:szCs w:val="20"/>
                <w:color w:val="auto"/>
              </w:rPr>
            </w:pPr>
            <w:r>
              <w:rPr>
                <w:rFonts w:ascii="Arial" w:cs="Arial" w:eastAsia="Arial" w:hAnsi="Arial"/>
                <w:sz w:val="17"/>
                <w:szCs w:val="17"/>
                <w:color w:val="010202"/>
              </w:rPr>
              <w:t>Disclosure under the Employee Retirement Income Security Act of 1974 have been omitted because they are not applicable.</w:t>
            </w:r>
          </w:p>
        </w:tc>
        <w:tc>
          <w:tcPr>
            <w:tcW w:w="560" w:type="dxa"/>
            <w:vAlign w:val="bottom"/>
          </w:tcPr>
          <w:p>
            <w:pPr>
              <w:spacing w:after="0"/>
              <w:rPr>
                <w:sz w:val="17"/>
                <w:szCs w:val="17"/>
                <w:color w:val="auto"/>
              </w:rPr>
            </w:pPr>
          </w:p>
        </w:tc>
      </w:tr>
    </w:tbl>
    <w:p>
      <w:pPr>
        <w:sectPr>
          <w:pgSz w:w="11900" w:h="16838" w:orient="portrait"/>
          <w:cols w:equalWidth="0" w:num="1">
            <w:col w:w="11240"/>
          </w:cols>
          <w:pgMar w:left="320" w:top="118" w:right="339" w:bottom="1440" w:gutter="0" w:footer="0" w:header="0"/>
        </w:sectPr>
      </w:pPr>
    </w:p>
    <w:bookmarkStart w:id="2" w:name="page3"/>
    <w:bookmarkEnd w:id="2"/>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the Benefit Plans Committee and Participants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 Retirement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statements of net assets available for benefits of the Science Applications International Corporation Retirement Plan (the “Plan”) as of December 31, 2019 and 2018, and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2019 and 2018, and the changes in net assets available for benefits for the years then ended,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Schedule of Assets (Held at Year End) as of December 31, 2019 (collectively referred to as the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1 -</w:t>
      </w:r>
    </w:p>
    <w:p>
      <w:pPr>
        <w:sectPr>
          <w:pgSz w:w="11900" w:h="16838" w:orient="portrait"/>
          <w:cols w:equalWidth="0" w:num="1">
            <w:col w:w="11240"/>
          </w:cols>
          <w:pgMar w:left="320" w:top="56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34"/>
              <w:spacing w:after="0"/>
              <w:rPr>
                <w:sz w:val="20"/>
                <w:szCs w:val="20"/>
                <w:color w:val="auto"/>
              </w:rPr>
            </w:pPr>
            <w:r>
              <w:rPr>
                <w:rFonts w:ascii="Arial" w:cs="Arial" w:eastAsia="Arial" w:hAnsi="Arial"/>
                <w:sz w:val="14"/>
                <w:szCs w:val="14"/>
                <w:b w:val="1"/>
                <w:bCs w:val="1"/>
                <w:color w:val="2B4C9B"/>
              </w:rPr>
              <w:t>December 31,</w:t>
            </w:r>
          </w:p>
        </w:tc>
        <w:tc>
          <w:tcPr>
            <w:tcW w:w="640" w:type="dxa"/>
            <w:vAlign w:val="bottom"/>
          </w:tcPr>
          <w:p>
            <w:pPr>
              <w:spacing w:after="0"/>
              <w:rPr>
                <w:sz w:val="16"/>
                <w:szCs w:val="16"/>
                <w:color w:val="auto"/>
              </w:rPr>
            </w:pPr>
          </w:p>
        </w:tc>
        <w:tc>
          <w:tcPr>
            <w:tcW w:w="1120" w:type="dxa"/>
            <w:vAlign w:val="bottom"/>
          </w:tcPr>
          <w:p>
            <w:pPr>
              <w:jc w:val="right"/>
              <w:ind w:right="13"/>
              <w:spacing w:after="0"/>
              <w:rPr>
                <w:sz w:val="20"/>
                <w:szCs w:val="20"/>
                <w:color w:val="auto"/>
              </w:rPr>
            </w:pPr>
            <w:r>
              <w:rPr>
                <w:rFonts w:ascii="Arial" w:cs="Arial" w:eastAsia="Arial" w:hAnsi="Arial"/>
                <w:sz w:val="14"/>
                <w:szCs w:val="14"/>
                <w:color w:val="auto"/>
              </w:rPr>
              <w:t>December 31,</w:t>
            </w:r>
          </w:p>
        </w:tc>
      </w:tr>
      <w:tr>
        <w:trPr>
          <w:trHeight w:val="276"/>
        </w:trPr>
        <w:tc>
          <w:tcPr>
            <w:tcW w:w="7560" w:type="dxa"/>
            <w:vAlign w:val="bottom"/>
            <w:tcBorders>
              <w:bottom w:val="single" w:sz="8" w:color="2B4C9B"/>
            </w:tcBorders>
          </w:tcPr>
          <w:p>
            <w:pPr>
              <w:spacing w:after="0"/>
              <w:rPr>
                <w:sz w:val="24"/>
                <w:szCs w:val="24"/>
                <w:color w:val="auto"/>
              </w:rPr>
            </w:pPr>
          </w:p>
        </w:tc>
        <w:tc>
          <w:tcPr>
            <w:tcW w:w="380" w:type="dxa"/>
            <w:vAlign w:val="bottom"/>
            <w:tcBorders>
              <w:bottom w:val="single" w:sz="8" w:color="333399"/>
            </w:tcBorders>
          </w:tcPr>
          <w:p>
            <w:pPr>
              <w:spacing w:after="0"/>
              <w:rPr>
                <w:sz w:val="24"/>
                <w:szCs w:val="24"/>
                <w:color w:val="auto"/>
              </w:rPr>
            </w:pPr>
          </w:p>
        </w:tc>
        <w:tc>
          <w:tcPr>
            <w:tcW w:w="1300" w:type="dxa"/>
            <w:vAlign w:val="bottom"/>
            <w:tcBorders>
              <w:bottom w:val="single" w:sz="8" w:color="333399"/>
            </w:tcBorders>
          </w:tcPr>
          <w:p>
            <w:pPr>
              <w:jc w:val="right"/>
              <w:ind w:right="34"/>
              <w:spacing w:after="0"/>
              <w:rPr>
                <w:sz w:val="20"/>
                <w:szCs w:val="20"/>
                <w:color w:val="auto"/>
              </w:rPr>
            </w:pPr>
            <w:r>
              <w:rPr>
                <w:rFonts w:ascii="Arial" w:cs="Arial" w:eastAsia="Arial" w:hAnsi="Arial"/>
                <w:sz w:val="14"/>
                <w:szCs w:val="14"/>
                <w:b w:val="1"/>
                <w:bCs w:val="1"/>
                <w:color w:val="2B4C9B"/>
              </w:rPr>
              <w:t>2019</w:t>
            </w:r>
          </w:p>
        </w:tc>
        <w:tc>
          <w:tcPr>
            <w:tcW w:w="640" w:type="dxa"/>
            <w:vAlign w:val="bottom"/>
            <w:tcBorders>
              <w:bottom w:val="single" w:sz="8" w:color="333399"/>
            </w:tcBorders>
          </w:tcPr>
          <w:p>
            <w:pPr>
              <w:spacing w:after="0"/>
              <w:rPr>
                <w:sz w:val="24"/>
                <w:szCs w:val="24"/>
                <w:color w:val="auto"/>
              </w:rPr>
            </w:pPr>
          </w:p>
        </w:tc>
        <w:tc>
          <w:tcPr>
            <w:tcW w:w="1120" w:type="dxa"/>
            <w:vAlign w:val="bottom"/>
            <w:tcBorders>
              <w:bottom w:val="single" w:sz="8" w:color="333399"/>
            </w:tcBorders>
          </w:tcPr>
          <w:p>
            <w:pPr>
              <w:jc w:val="right"/>
              <w:ind w:right="13"/>
              <w:spacing w:after="0"/>
              <w:rPr>
                <w:sz w:val="20"/>
                <w:szCs w:val="20"/>
                <w:color w:val="auto"/>
              </w:rPr>
            </w:pPr>
            <w:r>
              <w:rPr>
                <w:rFonts w:ascii="Arial" w:cs="Arial" w:eastAsia="Arial" w:hAnsi="Arial"/>
                <w:sz w:val="14"/>
                <w:szCs w:val="14"/>
                <w:color w:val="auto"/>
              </w:rPr>
              <w:t>2018</w:t>
            </w:r>
          </w:p>
        </w:tc>
      </w:tr>
      <w:tr>
        <w:trPr>
          <w:trHeight w:val="258"/>
        </w:trPr>
        <w:tc>
          <w:tcPr>
            <w:tcW w:w="7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40" w:type="dxa"/>
            <w:vAlign w:val="bottom"/>
            <w:gridSpan w:val="2"/>
          </w:tcPr>
          <w:p>
            <w:pPr>
              <w:jc w:val="right"/>
              <w:ind w:right="30"/>
              <w:spacing w:after="0"/>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22"/>
                <w:szCs w:val="22"/>
                <w:color w:val="auto"/>
              </w:rPr>
            </w:pPr>
          </w:p>
        </w:tc>
      </w:tr>
      <w:tr>
        <w:trPr>
          <w:trHeight w:val="269"/>
        </w:trPr>
        <w:tc>
          <w:tcPr>
            <w:tcW w:w="7560" w:type="dxa"/>
            <w:vAlign w:val="bottom"/>
          </w:tcPr>
          <w:p>
            <w:pPr>
              <w:ind w:left="40"/>
              <w:spacing w:after="0"/>
              <w:rPr>
                <w:sz w:val="20"/>
                <w:szCs w:val="20"/>
                <w:color w:val="auto"/>
              </w:rPr>
            </w:pPr>
            <w:r>
              <w:rPr>
                <w:rFonts w:ascii="Arial" w:cs="Arial" w:eastAsia="Arial" w:hAnsi="Arial"/>
                <w:sz w:val="18"/>
                <w:szCs w:val="18"/>
                <w:b w:val="1"/>
                <w:bCs w:val="1"/>
                <w:color w:val="2B4C9B"/>
              </w:rPr>
              <w:t>ASSETS:</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7"/>
        </w:trPr>
        <w:tc>
          <w:tcPr>
            <w:tcW w:w="75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7"/>
        </w:trPr>
        <w:tc>
          <w:tcPr>
            <w:tcW w:w="75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Mutual funds</w:t>
            </w:r>
          </w:p>
        </w:tc>
        <w:tc>
          <w:tcPr>
            <w:tcW w:w="38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2B4C9B"/>
              </w:rPr>
              <w:t>$</w:t>
            </w:r>
          </w:p>
        </w:tc>
        <w:tc>
          <w:tcPr>
            <w:tcW w:w="130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956,574</w:t>
            </w:r>
          </w:p>
        </w:tc>
        <w:tc>
          <w:tcPr>
            <w:tcW w:w="6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1,310,739</w:t>
            </w:r>
          </w:p>
        </w:tc>
      </w:tr>
      <w:tr>
        <w:trPr>
          <w:trHeight w:val="263"/>
        </w:trPr>
        <w:tc>
          <w:tcPr>
            <w:tcW w:w="7560" w:type="dxa"/>
            <w:vAlign w:val="bottom"/>
          </w:tcPr>
          <w:p>
            <w:pPr>
              <w:ind w:left="460"/>
              <w:spacing w:after="0"/>
              <w:rPr>
                <w:sz w:val="20"/>
                <w:szCs w:val="20"/>
                <w:color w:val="auto"/>
              </w:rPr>
            </w:pPr>
            <w:r>
              <w:rPr>
                <w:rFonts w:ascii="Arial" w:cs="Arial" w:eastAsia="Arial" w:hAnsi="Arial"/>
                <w:sz w:val="18"/>
                <w:szCs w:val="18"/>
                <w:color w:val="auto"/>
              </w:rPr>
              <w:t>Science Applications International Corporation common stock</w:t>
            </w:r>
          </w:p>
        </w:tc>
        <w:tc>
          <w:tcPr>
            <w:tcW w:w="380" w:type="dxa"/>
            <w:vAlign w:val="bottom"/>
          </w:tcPr>
          <w:p>
            <w:pPr>
              <w:spacing w:after="0"/>
              <w:rPr>
                <w:sz w:val="22"/>
                <w:szCs w:val="22"/>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b w:val="1"/>
                <w:bCs w:val="1"/>
                <w:color w:val="2B4C9B"/>
              </w:rPr>
              <w:t>112,573</w:t>
            </w:r>
          </w:p>
        </w:tc>
        <w:tc>
          <w:tcPr>
            <w:tcW w:w="64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76,041</w:t>
            </w:r>
          </w:p>
        </w:tc>
      </w:tr>
      <w:tr>
        <w:trPr>
          <w:trHeight w:val="277"/>
        </w:trPr>
        <w:tc>
          <w:tcPr>
            <w:tcW w:w="75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Common collective trusts</w:t>
            </w:r>
          </w:p>
        </w:tc>
        <w:tc>
          <w:tcPr>
            <w:tcW w:w="3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1,885,958</w:t>
            </w:r>
          </w:p>
        </w:tc>
        <w:tc>
          <w:tcPr>
            <w:tcW w:w="64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1,019,133</w:t>
            </w:r>
          </w:p>
        </w:tc>
      </w:tr>
      <w:tr>
        <w:trPr>
          <w:trHeight w:val="263"/>
        </w:trPr>
        <w:tc>
          <w:tcPr>
            <w:tcW w:w="7560" w:type="dxa"/>
            <w:vAlign w:val="bottom"/>
            <w:tcBorders>
              <w:bottom w:val="single" w:sz="8" w:color="2B4C9B"/>
            </w:tcBorders>
          </w:tcPr>
          <w:p>
            <w:pPr>
              <w:ind w:left="460"/>
              <w:spacing w:after="0"/>
              <w:rPr>
                <w:sz w:val="20"/>
                <w:szCs w:val="20"/>
                <w:color w:val="auto"/>
              </w:rPr>
            </w:pPr>
            <w:r>
              <w:rPr>
                <w:rFonts w:ascii="Arial" w:cs="Arial" w:eastAsia="Arial" w:hAnsi="Arial"/>
                <w:sz w:val="18"/>
                <w:szCs w:val="18"/>
                <w:color w:val="auto"/>
              </w:rPr>
              <w:t>Self-directed brokerage fund</w:t>
            </w:r>
          </w:p>
        </w:tc>
        <w:tc>
          <w:tcPr>
            <w:tcW w:w="38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32,409</w:t>
            </w:r>
          </w:p>
        </w:tc>
        <w:tc>
          <w:tcPr>
            <w:tcW w:w="64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7560" w:type="dxa"/>
            <w:vAlign w:val="bottom"/>
            <w:shd w:val="clear" w:color="auto" w:fill="CFF0FC"/>
          </w:tcPr>
          <w:p>
            <w:pPr>
              <w:ind w:left="800"/>
              <w:spacing w:after="0"/>
              <w:rPr>
                <w:sz w:val="20"/>
                <w:szCs w:val="20"/>
                <w:color w:val="auto"/>
              </w:rPr>
            </w:pPr>
            <w:r>
              <w:rPr>
                <w:rFonts w:ascii="Arial" w:cs="Arial" w:eastAsia="Arial" w:hAnsi="Arial"/>
                <w:sz w:val="18"/>
                <w:szCs w:val="18"/>
                <w:color w:val="auto"/>
              </w:rPr>
              <w:t>Total investments</w:t>
            </w:r>
          </w:p>
        </w:tc>
        <w:tc>
          <w:tcPr>
            <w:tcW w:w="380" w:type="dxa"/>
            <w:vAlign w:val="bottom"/>
            <w:shd w:val="clear" w:color="auto" w:fill="CFF0FC"/>
          </w:tcPr>
          <w:p>
            <w:pPr>
              <w:spacing w:after="0"/>
              <w:rPr>
                <w:sz w:val="23"/>
                <w:szCs w:val="23"/>
                <w:color w:val="auto"/>
              </w:rPr>
            </w:pPr>
          </w:p>
        </w:tc>
        <w:tc>
          <w:tcPr>
            <w:tcW w:w="130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2,987,514</w:t>
            </w:r>
          </w:p>
        </w:tc>
        <w:tc>
          <w:tcPr>
            <w:tcW w:w="640" w:type="dxa"/>
            <w:vAlign w:val="bottom"/>
            <w:shd w:val="clear" w:color="auto" w:fill="CFF0FC"/>
          </w:tcPr>
          <w:p>
            <w:pPr>
              <w:spacing w:after="0"/>
              <w:rPr>
                <w:sz w:val="23"/>
                <w:szCs w:val="23"/>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2,405,913</w:t>
            </w:r>
          </w:p>
        </w:tc>
      </w:tr>
      <w:tr>
        <w:trPr>
          <w:trHeight w:val="263"/>
        </w:trPr>
        <w:tc>
          <w:tcPr>
            <w:tcW w:w="7560" w:type="dxa"/>
            <w:vAlign w:val="bottom"/>
          </w:tcPr>
          <w:p>
            <w:pPr>
              <w:ind w:left="40"/>
              <w:spacing w:after="0"/>
              <w:rPr>
                <w:sz w:val="20"/>
                <w:szCs w:val="20"/>
                <w:color w:val="auto"/>
              </w:rPr>
            </w:pPr>
            <w:r>
              <w:rPr>
                <w:rFonts w:ascii="Arial" w:cs="Arial" w:eastAsia="Arial" w:hAnsi="Arial"/>
                <w:sz w:val="18"/>
                <w:szCs w:val="18"/>
                <w:color w:val="auto"/>
              </w:rPr>
              <w:t>Receivables:</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7560" w:type="dxa"/>
            <w:vAlign w:val="bottom"/>
            <w:shd w:val="clear" w:color="auto" w:fill="CFF0FC"/>
          </w:tcPr>
          <w:p>
            <w:pPr>
              <w:ind w:left="460"/>
              <w:spacing w:after="0"/>
              <w:rPr>
                <w:sz w:val="20"/>
                <w:szCs w:val="20"/>
                <w:color w:val="auto"/>
              </w:rPr>
            </w:pPr>
            <w:r>
              <w:rPr>
                <w:rFonts w:ascii="Arial" w:cs="Arial" w:eastAsia="Arial" w:hAnsi="Arial"/>
                <w:sz w:val="18"/>
                <w:szCs w:val="18"/>
                <w:color w:val="auto"/>
              </w:rPr>
              <w:t>Notes receivable from participants</w:t>
            </w:r>
          </w:p>
        </w:tc>
        <w:tc>
          <w:tcPr>
            <w:tcW w:w="380" w:type="dxa"/>
            <w:vAlign w:val="bottom"/>
            <w:shd w:val="clear" w:color="auto" w:fill="CFF0FC"/>
          </w:tcPr>
          <w:p>
            <w:pPr>
              <w:spacing w:after="0"/>
              <w:rPr>
                <w:sz w:val="24"/>
                <w:szCs w:val="24"/>
                <w:color w:val="auto"/>
              </w:rPr>
            </w:pPr>
          </w:p>
        </w:tc>
        <w:tc>
          <w:tcPr>
            <w:tcW w:w="130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23,515</w:t>
            </w:r>
          </w:p>
        </w:tc>
        <w:tc>
          <w:tcPr>
            <w:tcW w:w="64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24,065</w:t>
            </w:r>
          </w:p>
        </w:tc>
      </w:tr>
      <w:tr>
        <w:trPr>
          <w:trHeight w:val="263"/>
        </w:trPr>
        <w:tc>
          <w:tcPr>
            <w:tcW w:w="7560" w:type="dxa"/>
            <w:vAlign w:val="bottom"/>
          </w:tcPr>
          <w:p>
            <w:pPr>
              <w:ind w:left="460"/>
              <w:spacing w:after="0"/>
              <w:rPr>
                <w:sz w:val="20"/>
                <w:szCs w:val="20"/>
                <w:color w:val="auto"/>
              </w:rPr>
            </w:pPr>
            <w:r>
              <w:rPr>
                <w:rFonts w:ascii="Arial" w:cs="Arial" w:eastAsia="Arial" w:hAnsi="Arial"/>
                <w:sz w:val="18"/>
                <w:szCs w:val="18"/>
                <w:color w:val="auto"/>
              </w:rPr>
              <w:t>Employer contributions</w:t>
            </w:r>
          </w:p>
        </w:tc>
        <w:tc>
          <w:tcPr>
            <w:tcW w:w="380" w:type="dxa"/>
            <w:vAlign w:val="bottom"/>
          </w:tcPr>
          <w:p>
            <w:pPr>
              <w:spacing w:after="0"/>
              <w:rPr>
                <w:sz w:val="22"/>
                <w:szCs w:val="22"/>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b w:val="1"/>
                <w:bCs w:val="1"/>
                <w:color w:val="2B4C9B"/>
              </w:rPr>
              <w:t>4,908</w:t>
            </w:r>
          </w:p>
        </w:tc>
        <w:tc>
          <w:tcPr>
            <w:tcW w:w="64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1,238</w:t>
            </w:r>
          </w:p>
        </w:tc>
      </w:tr>
      <w:tr>
        <w:trPr>
          <w:trHeight w:val="270"/>
        </w:trPr>
        <w:tc>
          <w:tcPr>
            <w:tcW w:w="7560" w:type="dxa"/>
            <w:vAlign w:val="bottom"/>
            <w:tcBorders>
              <w:bottom w:val="single" w:sz="8" w:color="333399"/>
            </w:tcBorders>
            <w:shd w:val="clear" w:color="auto" w:fill="CFF0FC"/>
          </w:tcPr>
          <w:p>
            <w:pPr>
              <w:ind w:left="460"/>
              <w:spacing w:after="0"/>
              <w:rPr>
                <w:sz w:val="20"/>
                <w:szCs w:val="20"/>
                <w:color w:val="auto"/>
              </w:rPr>
            </w:pPr>
            <w:r>
              <w:rPr>
                <w:rFonts w:ascii="Arial" w:cs="Arial" w:eastAsia="Arial" w:hAnsi="Arial"/>
                <w:sz w:val="18"/>
                <w:szCs w:val="18"/>
                <w:color w:val="auto"/>
              </w:rPr>
              <w:t>Participant contributions</w:t>
            </w:r>
          </w:p>
        </w:tc>
        <w:tc>
          <w:tcPr>
            <w:tcW w:w="380" w:type="dxa"/>
            <w:vAlign w:val="bottom"/>
            <w:tcBorders>
              <w:bottom w:val="single" w:sz="8" w:color="333399"/>
            </w:tcBorders>
            <w:shd w:val="clear" w:color="auto" w:fill="CFF0FC"/>
          </w:tcPr>
          <w:p>
            <w:pPr>
              <w:spacing w:after="0"/>
              <w:rPr>
                <w:sz w:val="23"/>
                <w:szCs w:val="23"/>
                <w:color w:val="auto"/>
              </w:rPr>
            </w:pPr>
          </w:p>
        </w:tc>
        <w:tc>
          <w:tcPr>
            <w:tcW w:w="1300" w:type="dxa"/>
            <w:vAlign w:val="bottom"/>
            <w:tcBorders>
              <w:bottom w:val="single" w:sz="8" w:color="333399"/>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4</w:t>
            </w:r>
          </w:p>
        </w:tc>
        <w:tc>
          <w:tcPr>
            <w:tcW w:w="640" w:type="dxa"/>
            <w:vAlign w:val="bottom"/>
            <w:tcBorders>
              <w:bottom w:val="single" w:sz="8" w:color="333399"/>
            </w:tcBorders>
            <w:shd w:val="clear" w:color="auto" w:fill="CFF0FC"/>
          </w:tcPr>
          <w:p>
            <w:pPr>
              <w:spacing w:after="0"/>
              <w:rPr>
                <w:sz w:val="23"/>
                <w:szCs w:val="23"/>
                <w:color w:val="auto"/>
              </w:rPr>
            </w:pPr>
          </w:p>
        </w:tc>
        <w:tc>
          <w:tcPr>
            <w:tcW w:w="1120" w:type="dxa"/>
            <w:vAlign w:val="bottom"/>
            <w:tcBorders>
              <w:bottom w:val="single" w:sz="8" w:color="333399"/>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7560" w:type="dxa"/>
            <w:vAlign w:val="bottom"/>
            <w:tcBorders>
              <w:bottom w:val="single" w:sz="8" w:color="2B4C9B"/>
            </w:tcBorders>
          </w:tcPr>
          <w:p>
            <w:pPr>
              <w:ind w:left="800"/>
              <w:spacing w:after="0"/>
              <w:rPr>
                <w:sz w:val="20"/>
                <w:szCs w:val="20"/>
                <w:color w:val="auto"/>
              </w:rPr>
            </w:pPr>
            <w:r>
              <w:rPr>
                <w:rFonts w:ascii="Arial" w:cs="Arial" w:eastAsia="Arial" w:hAnsi="Arial"/>
                <w:sz w:val="18"/>
                <w:szCs w:val="18"/>
                <w:color w:val="auto"/>
              </w:rPr>
              <w:t>Total receivables</w:t>
            </w:r>
          </w:p>
        </w:tc>
        <w:tc>
          <w:tcPr>
            <w:tcW w:w="380" w:type="dxa"/>
            <w:vAlign w:val="bottom"/>
            <w:tcBorders>
              <w:bottom w:val="single" w:sz="8" w:color="2B4C9B"/>
            </w:tcBorders>
          </w:tcPr>
          <w:p>
            <w:pPr>
              <w:spacing w:after="0"/>
              <w:rPr>
                <w:sz w:val="22"/>
                <w:szCs w:val="22"/>
                <w:color w:val="auto"/>
              </w:rPr>
            </w:pPr>
          </w:p>
        </w:tc>
        <w:tc>
          <w:tcPr>
            <w:tcW w:w="130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28,427</w:t>
            </w:r>
          </w:p>
        </w:tc>
        <w:tc>
          <w:tcPr>
            <w:tcW w:w="64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25,303</w:t>
            </w:r>
          </w:p>
        </w:tc>
      </w:tr>
      <w:tr>
        <w:trPr>
          <w:trHeight w:val="263"/>
        </w:trPr>
        <w:tc>
          <w:tcPr>
            <w:tcW w:w="756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2B4C9B"/>
            </w:tcBorders>
            <w:shd w:val="clear" w:color="auto" w:fill="CFF0FC"/>
          </w:tcPr>
          <w:p>
            <w:pPr>
              <w:spacing w:after="0"/>
              <w:rPr>
                <w:sz w:val="22"/>
                <w:szCs w:val="22"/>
                <w:color w:val="auto"/>
              </w:rPr>
            </w:pPr>
          </w:p>
        </w:tc>
        <w:tc>
          <w:tcPr>
            <w:tcW w:w="130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3,015,941</w:t>
            </w:r>
          </w:p>
        </w:tc>
        <w:tc>
          <w:tcPr>
            <w:tcW w:w="640" w:type="dxa"/>
            <w:vAlign w:val="bottom"/>
            <w:tcBorders>
              <w:bottom w:val="single" w:sz="8" w:color="2B4C9B"/>
            </w:tcBorders>
            <w:shd w:val="clear" w:color="auto" w:fill="CFF0FC"/>
          </w:tcPr>
          <w:p>
            <w:pPr>
              <w:spacing w:after="0"/>
              <w:rPr>
                <w:sz w:val="22"/>
                <w:szCs w:val="22"/>
                <w:color w:val="auto"/>
              </w:rPr>
            </w:pPr>
          </w:p>
        </w:tc>
        <w:tc>
          <w:tcPr>
            <w:tcW w:w="112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2,431,216</w:t>
            </w:r>
          </w:p>
        </w:tc>
      </w:tr>
      <w:tr>
        <w:trPr>
          <w:trHeight w:val="263"/>
        </w:trPr>
        <w:tc>
          <w:tcPr>
            <w:tcW w:w="7560" w:type="dxa"/>
            <w:vAlign w:val="bottom"/>
          </w:tcPr>
          <w:p>
            <w:pPr>
              <w:ind w:left="40"/>
              <w:spacing w:after="0"/>
              <w:rPr>
                <w:sz w:val="20"/>
                <w:szCs w:val="20"/>
                <w:color w:val="auto"/>
              </w:rPr>
            </w:pPr>
            <w:r>
              <w:rPr>
                <w:rFonts w:ascii="Arial" w:cs="Arial" w:eastAsia="Arial" w:hAnsi="Arial"/>
                <w:sz w:val="18"/>
                <w:szCs w:val="18"/>
                <w:b w:val="1"/>
                <w:bCs w:val="1"/>
                <w:color w:val="2B4C9B"/>
              </w:rPr>
              <w:t>LIABILITIES:</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7560" w:type="dxa"/>
            <w:vAlign w:val="bottom"/>
            <w:tcBorders>
              <w:bottom w:val="single" w:sz="8" w:color="333399"/>
            </w:tcBorders>
            <w:shd w:val="clear" w:color="auto" w:fill="CFF0FC"/>
          </w:tcPr>
          <w:p>
            <w:pPr>
              <w:ind w:left="40"/>
              <w:spacing w:after="0"/>
              <w:rPr>
                <w:sz w:val="20"/>
                <w:szCs w:val="20"/>
                <w:color w:val="auto"/>
              </w:rPr>
            </w:pPr>
            <w:r>
              <w:rPr>
                <w:rFonts w:ascii="Arial" w:cs="Arial" w:eastAsia="Arial" w:hAnsi="Arial"/>
                <w:sz w:val="18"/>
                <w:szCs w:val="18"/>
                <w:color w:val="auto"/>
              </w:rPr>
              <w:t>Excess contributions due to participants</w:t>
            </w:r>
          </w:p>
        </w:tc>
        <w:tc>
          <w:tcPr>
            <w:tcW w:w="380" w:type="dxa"/>
            <w:vAlign w:val="bottom"/>
            <w:tcBorders>
              <w:bottom w:val="single" w:sz="8" w:color="333399"/>
            </w:tcBorders>
            <w:shd w:val="clear" w:color="auto" w:fill="CFF0FC"/>
          </w:tcPr>
          <w:p>
            <w:pPr>
              <w:spacing w:after="0"/>
              <w:rPr>
                <w:sz w:val="23"/>
                <w:szCs w:val="23"/>
                <w:color w:val="auto"/>
              </w:rPr>
            </w:pPr>
          </w:p>
        </w:tc>
        <w:tc>
          <w:tcPr>
            <w:tcW w:w="1300" w:type="dxa"/>
            <w:vAlign w:val="bottom"/>
            <w:tcBorders>
              <w:bottom w:val="single" w:sz="8" w:color="333399"/>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w:t>
            </w:r>
          </w:p>
        </w:tc>
        <w:tc>
          <w:tcPr>
            <w:tcW w:w="640" w:type="dxa"/>
            <w:vAlign w:val="bottom"/>
            <w:tcBorders>
              <w:bottom w:val="single" w:sz="8" w:color="333399"/>
            </w:tcBorders>
            <w:shd w:val="clear" w:color="auto" w:fill="CFF0FC"/>
          </w:tcPr>
          <w:p>
            <w:pPr>
              <w:spacing w:after="0"/>
              <w:rPr>
                <w:sz w:val="23"/>
                <w:szCs w:val="23"/>
                <w:color w:val="auto"/>
              </w:rPr>
            </w:pPr>
          </w:p>
        </w:tc>
        <w:tc>
          <w:tcPr>
            <w:tcW w:w="1120" w:type="dxa"/>
            <w:vAlign w:val="bottom"/>
            <w:tcBorders>
              <w:bottom w:val="single" w:sz="8" w:color="333399"/>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7560" w:type="dxa"/>
            <w:vAlign w:val="bottom"/>
            <w:tcBorders>
              <w:bottom w:val="single" w:sz="8" w:color="333399"/>
            </w:tcBorders>
          </w:tcPr>
          <w:p>
            <w:pPr>
              <w:ind w:left="40"/>
              <w:spacing w:after="0"/>
              <w:rPr>
                <w:sz w:val="20"/>
                <w:szCs w:val="20"/>
                <w:color w:val="auto"/>
              </w:rPr>
            </w:pPr>
            <w:r>
              <w:rPr>
                <w:rFonts w:ascii="Arial" w:cs="Arial" w:eastAsia="Arial" w:hAnsi="Arial"/>
                <w:sz w:val="18"/>
                <w:szCs w:val="18"/>
                <w:color w:val="auto"/>
              </w:rPr>
              <w:t>NET ASSETS AVAILABLE FOR BENEFITS</w:t>
            </w:r>
          </w:p>
        </w:tc>
        <w:tc>
          <w:tcPr>
            <w:tcW w:w="380" w:type="dxa"/>
            <w:vAlign w:val="bottom"/>
            <w:tcBorders>
              <w:bottom w:val="single" w:sz="8" w:color="333399"/>
            </w:tcBorders>
          </w:tcPr>
          <w:p>
            <w:pPr>
              <w:jc w:val="right"/>
              <w:ind w:right="150"/>
              <w:spacing w:after="0"/>
              <w:rPr>
                <w:sz w:val="20"/>
                <w:szCs w:val="20"/>
                <w:color w:val="auto"/>
              </w:rPr>
            </w:pPr>
            <w:r>
              <w:rPr>
                <w:rFonts w:ascii="Arial" w:cs="Arial" w:eastAsia="Arial" w:hAnsi="Arial"/>
                <w:sz w:val="18"/>
                <w:szCs w:val="18"/>
                <w:b w:val="1"/>
                <w:bCs w:val="1"/>
                <w:color w:val="2B4C9B"/>
              </w:rPr>
              <w:t>$</w:t>
            </w:r>
          </w:p>
        </w:tc>
        <w:tc>
          <w:tcPr>
            <w:tcW w:w="1300" w:type="dxa"/>
            <w:vAlign w:val="bottom"/>
            <w:tcBorders>
              <w:bottom w:val="single" w:sz="8" w:color="333399"/>
            </w:tcBorders>
          </w:tcPr>
          <w:p>
            <w:pPr>
              <w:jc w:val="right"/>
              <w:ind w:right="34"/>
              <w:spacing w:after="0"/>
              <w:rPr>
                <w:sz w:val="20"/>
                <w:szCs w:val="20"/>
                <w:color w:val="auto"/>
              </w:rPr>
            </w:pPr>
            <w:r>
              <w:rPr>
                <w:rFonts w:ascii="Arial" w:cs="Arial" w:eastAsia="Arial" w:hAnsi="Arial"/>
                <w:sz w:val="18"/>
                <w:szCs w:val="18"/>
                <w:b w:val="1"/>
                <w:bCs w:val="1"/>
                <w:color w:val="2B4C9B"/>
              </w:rPr>
              <w:t>3,015,940</w:t>
            </w:r>
          </w:p>
        </w:tc>
        <w:tc>
          <w:tcPr>
            <w:tcW w:w="640" w:type="dxa"/>
            <w:vAlign w:val="bottom"/>
            <w:tcBorders>
              <w:bottom w:val="single" w:sz="8" w:color="333399"/>
            </w:tcBorders>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333399"/>
            </w:tcBorders>
          </w:tcPr>
          <w:p>
            <w:pPr>
              <w:jc w:val="right"/>
              <w:ind w:right="13"/>
              <w:spacing w:after="0"/>
              <w:rPr>
                <w:sz w:val="20"/>
                <w:szCs w:val="20"/>
                <w:color w:val="auto"/>
              </w:rPr>
            </w:pPr>
            <w:r>
              <w:rPr>
                <w:rFonts w:ascii="Arial" w:cs="Arial" w:eastAsia="Arial" w:hAnsi="Arial"/>
                <w:sz w:val="18"/>
                <w:szCs w:val="18"/>
                <w:color w:val="auto"/>
              </w:rPr>
              <w:t>2,431,216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000"/>
          </w:cols>
          <w:pgMar w:left="440" w:top="118" w:right="45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2B4C9B"/>
        </w:rPr>
        <w:t xml:space="preserve">- </w:t>
      </w:r>
      <w:r>
        <w:rPr>
          <w:rFonts w:ascii="Arial" w:cs="Arial" w:eastAsia="Arial" w:hAnsi="Arial"/>
          <w:sz w:val="16"/>
          <w:szCs w:val="16"/>
          <w:color w:val="2B4C9B"/>
        </w:rPr>
        <w:t>2 -</w:t>
      </w:r>
    </w:p>
    <w:p>
      <w:pPr>
        <w:sectPr>
          <w:pgSz w:w="11900" w:h="16838" w:orient="portrait"/>
          <w:cols w:equalWidth="0" w:num="1">
            <w:col w:w="11000"/>
          </w:cols>
          <w:pgMar w:left="440" w:top="118" w:right="4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20" w:type="dxa"/>
            <w:vAlign w:val="bottom"/>
          </w:tcPr>
          <w:p>
            <w:pPr>
              <w:spacing w:after="0"/>
              <w:rPr>
                <w:sz w:val="15"/>
                <w:szCs w:val="15"/>
                <w:color w:val="auto"/>
              </w:rPr>
            </w:pPr>
          </w:p>
        </w:tc>
        <w:tc>
          <w:tcPr>
            <w:tcW w:w="420" w:type="dxa"/>
            <w:vAlign w:val="bottom"/>
            <w:tcBorders>
              <w:bottom w:val="single" w:sz="8" w:color="2B4C9B"/>
            </w:tcBorders>
          </w:tcPr>
          <w:p>
            <w:pPr>
              <w:spacing w:after="0"/>
              <w:rPr>
                <w:sz w:val="15"/>
                <w:szCs w:val="15"/>
                <w:color w:val="auto"/>
              </w:rPr>
            </w:pPr>
          </w:p>
        </w:tc>
        <w:tc>
          <w:tcPr>
            <w:tcW w:w="1880" w:type="dxa"/>
            <w:vAlign w:val="bottom"/>
            <w:tcBorders>
              <w:bottom w:val="single" w:sz="8" w:color="2B4C9B"/>
            </w:tcBorders>
            <w:gridSpan w:val="2"/>
          </w:tcPr>
          <w:p>
            <w:pPr>
              <w:jc w:val="right"/>
              <w:ind w:right="110"/>
              <w:spacing w:after="0"/>
              <w:rPr>
                <w:sz w:val="20"/>
                <w:szCs w:val="20"/>
                <w:color w:val="auto"/>
              </w:rPr>
            </w:pPr>
            <w:r>
              <w:rPr>
                <w:rFonts w:ascii="Arial" w:cs="Arial" w:eastAsia="Arial" w:hAnsi="Arial"/>
                <w:sz w:val="14"/>
                <w:szCs w:val="14"/>
                <w:color w:val="auto"/>
              </w:rPr>
              <w:t>Year Ended</w:t>
            </w:r>
          </w:p>
        </w:tc>
        <w:tc>
          <w:tcPr>
            <w:tcW w:w="1120" w:type="dxa"/>
            <w:vAlign w:val="bottom"/>
            <w:tcBorders>
              <w:bottom w:val="single" w:sz="8" w:color="2B4C9B"/>
            </w:tcBorders>
          </w:tcPr>
          <w:p>
            <w:pPr>
              <w:spacing w:after="0"/>
              <w:rPr>
                <w:sz w:val="15"/>
                <w:szCs w:val="15"/>
                <w:color w:val="auto"/>
              </w:rPr>
            </w:pPr>
          </w:p>
        </w:tc>
      </w:tr>
      <w:tr>
        <w:trPr>
          <w:trHeight w:val="244"/>
        </w:trPr>
        <w:tc>
          <w:tcPr>
            <w:tcW w:w="7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4"/>
                <w:szCs w:val="14"/>
                <w:b w:val="1"/>
                <w:bCs w:val="1"/>
                <w:color w:val="2B4C9B"/>
              </w:rPr>
              <w:t>December 31,</w:t>
            </w:r>
          </w:p>
        </w:tc>
        <w:tc>
          <w:tcPr>
            <w:tcW w:w="5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December 31,</w:t>
            </w:r>
          </w:p>
        </w:tc>
      </w:tr>
      <w:tr>
        <w:trPr>
          <w:trHeight w:val="276"/>
        </w:trPr>
        <w:tc>
          <w:tcPr>
            <w:tcW w:w="7820" w:type="dxa"/>
            <w:vAlign w:val="bottom"/>
            <w:tcBorders>
              <w:bottom w:val="single" w:sz="8" w:color="2B4C9B"/>
            </w:tcBorders>
          </w:tcPr>
          <w:p>
            <w:pPr>
              <w:spacing w:after="0"/>
              <w:rPr>
                <w:sz w:val="24"/>
                <w:szCs w:val="24"/>
                <w:color w:val="auto"/>
              </w:rPr>
            </w:pPr>
          </w:p>
        </w:tc>
        <w:tc>
          <w:tcPr>
            <w:tcW w:w="420" w:type="dxa"/>
            <w:vAlign w:val="bottom"/>
            <w:tcBorders>
              <w:bottom w:val="single" w:sz="8" w:color="2B4C9B"/>
            </w:tcBorders>
          </w:tcPr>
          <w:p>
            <w:pPr>
              <w:spacing w:after="0"/>
              <w:rPr>
                <w:sz w:val="24"/>
                <w:szCs w:val="24"/>
                <w:color w:val="auto"/>
              </w:rPr>
            </w:pPr>
          </w:p>
        </w:tc>
        <w:tc>
          <w:tcPr>
            <w:tcW w:w="1320" w:type="dxa"/>
            <w:vAlign w:val="bottom"/>
            <w:tcBorders>
              <w:bottom w:val="single" w:sz="8" w:color="2B4C9B"/>
            </w:tcBorders>
          </w:tcPr>
          <w:p>
            <w:pPr>
              <w:jc w:val="right"/>
              <w:ind w:right="34"/>
              <w:spacing w:after="0"/>
              <w:rPr>
                <w:sz w:val="20"/>
                <w:szCs w:val="20"/>
                <w:color w:val="auto"/>
              </w:rPr>
            </w:pPr>
            <w:r>
              <w:rPr>
                <w:rFonts w:ascii="Arial" w:cs="Arial" w:eastAsia="Arial" w:hAnsi="Arial"/>
                <w:sz w:val="14"/>
                <w:szCs w:val="14"/>
                <w:b w:val="1"/>
                <w:bCs w:val="1"/>
                <w:color w:val="2B4C9B"/>
              </w:rPr>
              <w:t>2019</w:t>
            </w:r>
          </w:p>
        </w:tc>
        <w:tc>
          <w:tcPr>
            <w:tcW w:w="560" w:type="dxa"/>
            <w:vAlign w:val="bottom"/>
            <w:tcBorders>
              <w:bottom w:val="single" w:sz="8" w:color="2B4C9B"/>
            </w:tcBorders>
          </w:tcPr>
          <w:p>
            <w:pPr>
              <w:spacing w:after="0"/>
              <w:rPr>
                <w:sz w:val="24"/>
                <w:szCs w:val="24"/>
                <w:color w:val="auto"/>
              </w:rPr>
            </w:pPr>
          </w:p>
        </w:tc>
        <w:tc>
          <w:tcPr>
            <w:tcW w:w="1120" w:type="dxa"/>
            <w:vAlign w:val="bottom"/>
            <w:tcBorders>
              <w:bottom w:val="single" w:sz="8" w:color="2B4C9B"/>
            </w:tcBorders>
          </w:tcPr>
          <w:p>
            <w:pPr>
              <w:jc w:val="right"/>
              <w:ind w:right="12"/>
              <w:spacing w:after="0"/>
              <w:rPr>
                <w:sz w:val="20"/>
                <w:szCs w:val="20"/>
                <w:color w:val="auto"/>
              </w:rPr>
            </w:pPr>
            <w:r>
              <w:rPr>
                <w:rFonts w:ascii="Arial" w:cs="Arial" w:eastAsia="Arial" w:hAnsi="Arial"/>
                <w:sz w:val="14"/>
                <w:szCs w:val="14"/>
                <w:color w:val="auto"/>
              </w:rPr>
              <w:t>2018</w:t>
            </w:r>
          </w:p>
        </w:tc>
      </w:tr>
      <w:tr>
        <w:trPr>
          <w:trHeight w:val="257"/>
        </w:trPr>
        <w:tc>
          <w:tcPr>
            <w:tcW w:w="7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80" w:type="dxa"/>
            <w:vAlign w:val="bottom"/>
            <w:gridSpan w:val="2"/>
          </w:tcPr>
          <w:p>
            <w:pPr>
              <w:jc w:val="right"/>
              <w:ind w:right="30"/>
              <w:spacing w:after="0"/>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22"/>
                <w:szCs w:val="22"/>
                <w:color w:val="auto"/>
              </w:rPr>
            </w:pPr>
          </w:p>
        </w:tc>
      </w:tr>
      <w:tr>
        <w:trPr>
          <w:trHeight w:val="275"/>
        </w:trPr>
        <w:tc>
          <w:tcPr>
            <w:tcW w:w="7820" w:type="dxa"/>
            <w:vAlign w:val="bottom"/>
          </w:tcPr>
          <w:p>
            <w:pPr>
              <w:ind w:left="40"/>
              <w:spacing w:after="0"/>
              <w:rPr>
                <w:sz w:val="20"/>
                <w:szCs w:val="20"/>
                <w:color w:val="auto"/>
              </w:rPr>
            </w:pPr>
            <w:r>
              <w:rPr>
                <w:rFonts w:ascii="Arial" w:cs="Arial" w:eastAsia="Arial" w:hAnsi="Arial"/>
                <w:sz w:val="18"/>
                <w:szCs w:val="18"/>
                <w:color w:val="auto"/>
              </w:rPr>
              <w:t>INVESTMENT INCOME (LOSS):</w:t>
            </w: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7"/>
        </w:trPr>
        <w:tc>
          <w:tcPr>
            <w:tcW w:w="7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appreciation (depreciation) in fair value of investments</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rPr>
              <w:t>$</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471,253</w:t>
            </w:r>
          </w:p>
        </w:tc>
        <w:tc>
          <w:tcPr>
            <w:tcW w:w="5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(206,908)</w:t>
            </w:r>
          </w:p>
        </w:tc>
      </w:tr>
      <w:tr>
        <w:trPr>
          <w:trHeight w:val="263"/>
        </w:trPr>
        <w:tc>
          <w:tcPr>
            <w:tcW w:w="782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Interest and dividends</w:t>
            </w:r>
          </w:p>
        </w:tc>
        <w:tc>
          <w:tcPr>
            <w:tcW w:w="420" w:type="dxa"/>
            <w:vAlign w:val="bottom"/>
            <w:tcBorders>
              <w:bottom w:val="single" w:sz="8" w:color="2B4C9B"/>
            </w:tcBorders>
          </w:tcPr>
          <w:p>
            <w:pPr>
              <w:spacing w:after="0"/>
              <w:rPr>
                <w:sz w:val="22"/>
                <w:szCs w:val="22"/>
                <w:color w:val="auto"/>
              </w:rPr>
            </w:pPr>
          </w:p>
        </w:tc>
        <w:tc>
          <w:tcPr>
            <w:tcW w:w="132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61,011</w:t>
            </w:r>
          </w:p>
        </w:tc>
        <w:tc>
          <w:tcPr>
            <w:tcW w:w="56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66,573</w:t>
            </w:r>
          </w:p>
        </w:tc>
      </w:tr>
      <w:tr>
        <w:trPr>
          <w:trHeight w:val="264"/>
        </w:trPr>
        <w:tc>
          <w:tcPr>
            <w:tcW w:w="7820" w:type="dxa"/>
            <w:vAlign w:val="bottom"/>
            <w:tcBorders>
              <w:bottom w:val="single" w:sz="8" w:color="2B4C9B"/>
            </w:tcBorders>
            <w:shd w:val="clear" w:color="auto" w:fill="CFF0FC"/>
          </w:tcPr>
          <w:p>
            <w:pPr>
              <w:ind w:left="680"/>
              <w:spacing w:after="0"/>
              <w:rPr>
                <w:sz w:val="20"/>
                <w:szCs w:val="20"/>
                <w:color w:val="auto"/>
              </w:rPr>
            </w:pPr>
            <w:r>
              <w:rPr>
                <w:rFonts w:ascii="Arial" w:cs="Arial" w:eastAsia="Arial" w:hAnsi="Arial"/>
                <w:sz w:val="18"/>
                <w:szCs w:val="18"/>
                <w:color w:val="auto"/>
              </w:rPr>
              <w:t>Total investment income (loss)</w:t>
            </w:r>
          </w:p>
        </w:tc>
        <w:tc>
          <w:tcPr>
            <w:tcW w:w="420" w:type="dxa"/>
            <w:vAlign w:val="bottom"/>
            <w:tcBorders>
              <w:bottom w:val="single" w:sz="8" w:color="2B4C9B"/>
            </w:tcBorders>
            <w:shd w:val="clear" w:color="auto" w:fill="CFF0FC"/>
          </w:tcPr>
          <w:p>
            <w:pPr>
              <w:spacing w:after="0"/>
              <w:rPr>
                <w:sz w:val="22"/>
                <w:szCs w:val="22"/>
                <w:color w:val="auto"/>
              </w:rPr>
            </w:pPr>
          </w:p>
        </w:tc>
        <w:tc>
          <w:tcPr>
            <w:tcW w:w="132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532,264</w:t>
            </w:r>
          </w:p>
        </w:tc>
        <w:tc>
          <w:tcPr>
            <w:tcW w:w="560" w:type="dxa"/>
            <w:vAlign w:val="bottom"/>
            <w:tcBorders>
              <w:bottom w:val="single" w:sz="8" w:color="2B4C9B"/>
            </w:tcBorders>
            <w:shd w:val="clear" w:color="auto" w:fill="CFF0FC"/>
          </w:tcPr>
          <w:p>
            <w:pPr>
              <w:spacing w:after="0"/>
              <w:rPr>
                <w:sz w:val="22"/>
                <w:szCs w:val="22"/>
                <w:color w:val="auto"/>
              </w:rPr>
            </w:pPr>
          </w:p>
        </w:tc>
        <w:tc>
          <w:tcPr>
            <w:tcW w:w="11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(140,335)</w:t>
            </w:r>
          </w:p>
        </w:tc>
      </w:tr>
      <w:tr>
        <w:trPr>
          <w:trHeight w:val="270"/>
        </w:trPr>
        <w:tc>
          <w:tcPr>
            <w:tcW w:w="7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7820" w:type="dxa"/>
            <w:vAlign w:val="bottom"/>
            <w:tcBorders>
              <w:bottom w:val="single" w:sz="8" w:color="2B4C9B"/>
            </w:tcBorders>
            <w:shd w:val="clear" w:color="auto" w:fill="CCF0FC"/>
          </w:tcPr>
          <w:p>
            <w:pPr>
              <w:ind w:left="40"/>
              <w:spacing w:after="0"/>
              <w:rPr>
                <w:sz w:val="20"/>
                <w:szCs w:val="20"/>
                <w:color w:val="auto"/>
              </w:rPr>
            </w:pPr>
            <w:r>
              <w:rPr>
                <w:rFonts w:ascii="Arial" w:cs="Arial" w:eastAsia="Arial" w:hAnsi="Arial"/>
                <w:sz w:val="18"/>
                <w:szCs w:val="18"/>
                <w:color w:val="auto"/>
              </w:rPr>
              <w:t>INTEREST INCOME ON NOTES RECEIVABLE FROM PARTICIPANTS</w:t>
            </w:r>
          </w:p>
        </w:tc>
        <w:tc>
          <w:tcPr>
            <w:tcW w:w="420" w:type="dxa"/>
            <w:vAlign w:val="bottom"/>
            <w:tcBorders>
              <w:bottom w:val="single" w:sz="8" w:color="2B4C9B"/>
            </w:tcBorders>
            <w:shd w:val="clear" w:color="auto" w:fill="CCF0FC"/>
          </w:tcPr>
          <w:p>
            <w:pPr>
              <w:spacing w:after="0"/>
              <w:rPr>
                <w:sz w:val="21"/>
                <w:szCs w:val="21"/>
                <w:color w:val="auto"/>
              </w:rPr>
            </w:pPr>
          </w:p>
        </w:tc>
        <w:tc>
          <w:tcPr>
            <w:tcW w:w="1320" w:type="dxa"/>
            <w:vAlign w:val="bottom"/>
            <w:tcBorders>
              <w:bottom w:val="single" w:sz="8" w:color="2B4C9B"/>
            </w:tcBorders>
            <w:shd w:val="clear" w:color="auto" w:fill="CCF0FC"/>
          </w:tcPr>
          <w:p>
            <w:pPr>
              <w:jc w:val="right"/>
              <w:ind w:right="34"/>
              <w:spacing w:after="0"/>
              <w:rPr>
                <w:sz w:val="20"/>
                <w:szCs w:val="20"/>
                <w:color w:val="auto"/>
              </w:rPr>
            </w:pPr>
            <w:r>
              <w:rPr>
                <w:rFonts w:ascii="Arial" w:cs="Arial" w:eastAsia="Arial" w:hAnsi="Arial"/>
                <w:sz w:val="18"/>
                <w:szCs w:val="18"/>
                <w:b w:val="1"/>
                <w:bCs w:val="1"/>
                <w:color w:val="2B4C9B"/>
              </w:rPr>
              <w:t>1,266</w:t>
            </w:r>
          </w:p>
        </w:tc>
        <w:tc>
          <w:tcPr>
            <w:tcW w:w="560" w:type="dxa"/>
            <w:vAlign w:val="bottom"/>
            <w:tcBorders>
              <w:bottom w:val="single" w:sz="8" w:color="2B4C9B"/>
            </w:tcBorders>
            <w:shd w:val="clear" w:color="auto" w:fill="CCF0FC"/>
          </w:tcPr>
          <w:p>
            <w:pPr>
              <w:spacing w:after="0"/>
              <w:rPr>
                <w:sz w:val="21"/>
                <w:szCs w:val="21"/>
                <w:color w:val="auto"/>
              </w:rPr>
            </w:pPr>
          </w:p>
        </w:tc>
        <w:tc>
          <w:tcPr>
            <w:tcW w:w="1120" w:type="dxa"/>
            <w:vAlign w:val="bottom"/>
            <w:tcBorders>
              <w:bottom w:val="single" w:sz="8" w:color="2B4C9B"/>
            </w:tcBorders>
            <w:shd w:val="clear" w:color="auto" w:fill="CCF0FC"/>
          </w:tcPr>
          <w:p>
            <w:pPr>
              <w:jc w:val="right"/>
              <w:ind w:right="12"/>
              <w:spacing w:after="0"/>
              <w:rPr>
                <w:sz w:val="20"/>
                <w:szCs w:val="20"/>
                <w:color w:val="auto"/>
              </w:rPr>
            </w:pPr>
            <w:r>
              <w:rPr>
                <w:rFonts w:ascii="Arial" w:cs="Arial" w:eastAsia="Arial" w:hAnsi="Arial"/>
                <w:sz w:val="18"/>
                <w:szCs w:val="18"/>
                <w:color w:val="auto"/>
              </w:rPr>
              <w:t>1,193</w:t>
            </w:r>
          </w:p>
        </w:tc>
      </w:tr>
      <w:tr>
        <w:trPr>
          <w:trHeight w:val="270"/>
        </w:trPr>
        <w:tc>
          <w:tcPr>
            <w:tcW w:w="7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7"/>
        </w:trPr>
        <w:tc>
          <w:tcPr>
            <w:tcW w:w="7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shd w:val="clear" w:color="auto" w:fill="CFF0FC"/>
              </w:rPr>
              <w:t>CONTRIBUTIONS:</w:t>
            </w:r>
          </w:p>
        </w:tc>
        <w:tc>
          <w:tcPr>
            <w:tcW w:w="4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r>
      <w:tr>
        <w:trPr>
          <w:trHeight w:val="263"/>
        </w:trPr>
        <w:tc>
          <w:tcPr>
            <w:tcW w:w="7820" w:type="dxa"/>
            <w:vAlign w:val="bottom"/>
          </w:tcPr>
          <w:p>
            <w:pPr>
              <w:ind w:left="360"/>
              <w:spacing w:after="0"/>
              <w:rPr>
                <w:sz w:val="20"/>
                <w:szCs w:val="20"/>
                <w:color w:val="auto"/>
              </w:rPr>
            </w:pPr>
            <w:r>
              <w:rPr>
                <w:rFonts w:ascii="Arial" w:cs="Arial" w:eastAsia="Arial" w:hAnsi="Arial"/>
                <w:sz w:val="18"/>
                <w:szCs w:val="18"/>
                <w:color w:val="auto"/>
              </w:rPr>
              <w:t>Participants</w:t>
            </w:r>
          </w:p>
        </w:tc>
        <w:tc>
          <w:tcPr>
            <w:tcW w:w="420" w:type="dxa"/>
            <w:vAlign w:val="bottom"/>
          </w:tcPr>
          <w:p>
            <w:pPr>
              <w:spacing w:after="0"/>
              <w:rPr>
                <w:sz w:val="22"/>
                <w:szCs w:val="22"/>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b w:val="1"/>
                <w:bCs w:val="1"/>
                <w:color w:val="2B4C9B"/>
              </w:rPr>
              <w:t>116,144</w:t>
            </w:r>
          </w:p>
        </w:tc>
        <w:tc>
          <w:tcPr>
            <w:tcW w:w="5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110,148</w:t>
            </w:r>
          </w:p>
        </w:tc>
      </w:tr>
      <w:tr>
        <w:trPr>
          <w:trHeight w:val="257"/>
        </w:trPr>
        <w:tc>
          <w:tcPr>
            <w:tcW w:w="78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shd w:val="clear" w:color="auto" w:fill="CFF0FC"/>
              </w:rPr>
              <w:t>Employer</w:t>
            </w:r>
          </w:p>
        </w:tc>
        <w:tc>
          <w:tcPr>
            <w:tcW w:w="42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49,899</w:t>
            </w:r>
          </w:p>
        </w:tc>
        <w:tc>
          <w:tcPr>
            <w:tcW w:w="5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46,012</w:t>
            </w:r>
          </w:p>
        </w:tc>
      </w:tr>
      <w:tr>
        <w:trPr>
          <w:trHeight w:val="263"/>
        </w:trPr>
        <w:tc>
          <w:tcPr>
            <w:tcW w:w="782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Participant rollovers</w:t>
            </w:r>
          </w:p>
        </w:tc>
        <w:tc>
          <w:tcPr>
            <w:tcW w:w="420" w:type="dxa"/>
            <w:vAlign w:val="bottom"/>
            <w:tcBorders>
              <w:bottom w:val="single" w:sz="8" w:color="2B4C9B"/>
            </w:tcBorders>
          </w:tcPr>
          <w:p>
            <w:pPr>
              <w:spacing w:after="0"/>
              <w:rPr>
                <w:sz w:val="22"/>
                <w:szCs w:val="22"/>
                <w:color w:val="auto"/>
              </w:rPr>
            </w:pPr>
          </w:p>
        </w:tc>
        <w:tc>
          <w:tcPr>
            <w:tcW w:w="132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22,925</w:t>
            </w:r>
          </w:p>
        </w:tc>
        <w:tc>
          <w:tcPr>
            <w:tcW w:w="560" w:type="dxa"/>
            <w:vAlign w:val="bottom"/>
            <w:tcBorders>
              <w:bottom w:val="single" w:sz="8" w:color="2B4C9B"/>
            </w:tcBorders>
          </w:tcPr>
          <w:p>
            <w:pPr>
              <w:spacing w:after="0"/>
              <w:rPr>
                <w:sz w:val="22"/>
                <w:szCs w:val="22"/>
                <w:color w:val="auto"/>
              </w:rPr>
            </w:pPr>
          </w:p>
        </w:tc>
        <w:tc>
          <w:tcPr>
            <w:tcW w:w="112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20,375</w:t>
            </w:r>
          </w:p>
        </w:tc>
      </w:tr>
      <w:tr>
        <w:trPr>
          <w:trHeight w:val="275"/>
        </w:trPr>
        <w:tc>
          <w:tcPr>
            <w:tcW w:w="782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18"/>
                <w:szCs w:val="18"/>
                <w:color w:val="auto"/>
                <w:shd w:val="clear" w:color="auto" w:fill="CFF0FC"/>
              </w:rPr>
              <w:t>Total contributions</w:t>
            </w:r>
          </w:p>
        </w:tc>
        <w:tc>
          <w:tcPr>
            <w:tcW w:w="42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188,968</w:t>
            </w:r>
          </w:p>
        </w:tc>
        <w:tc>
          <w:tcPr>
            <w:tcW w:w="5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176,535</w:t>
            </w:r>
          </w:p>
        </w:tc>
      </w:tr>
      <w:tr>
        <w:trPr>
          <w:trHeight w:val="264"/>
        </w:trPr>
        <w:tc>
          <w:tcPr>
            <w:tcW w:w="7820" w:type="dxa"/>
            <w:vAlign w:val="bottom"/>
            <w:tcBorders>
              <w:top w:val="single" w:sz="8" w:color="2B4C9B"/>
            </w:tcBorders>
          </w:tcPr>
          <w:p>
            <w:pPr>
              <w:spacing w:after="0"/>
              <w:rPr>
                <w:sz w:val="22"/>
                <w:szCs w:val="22"/>
                <w:color w:val="auto"/>
              </w:rPr>
            </w:pPr>
          </w:p>
        </w:tc>
        <w:tc>
          <w:tcPr>
            <w:tcW w:w="420" w:type="dxa"/>
            <w:vAlign w:val="bottom"/>
            <w:tcBorders>
              <w:top w:val="single" w:sz="8" w:color="2B4C9B"/>
            </w:tcBorders>
          </w:tcPr>
          <w:p>
            <w:pPr>
              <w:spacing w:after="0"/>
              <w:rPr>
                <w:sz w:val="22"/>
                <w:szCs w:val="22"/>
                <w:color w:val="auto"/>
              </w:rPr>
            </w:pPr>
          </w:p>
        </w:tc>
        <w:tc>
          <w:tcPr>
            <w:tcW w:w="1320" w:type="dxa"/>
            <w:vAlign w:val="bottom"/>
            <w:tcBorders>
              <w:top w:val="single" w:sz="8" w:color="2B4C9B"/>
            </w:tcBorders>
          </w:tcPr>
          <w:p>
            <w:pPr>
              <w:spacing w:after="0"/>
              <w:rPr>
                <w:sz w:val="22"/>
                <w:szCs w:val="22"/>
                <w:color w:val="auto"/>
              </w:rPr>
            </w:pPr>
          </w:p>
        </w:tc>
        <w:tc>
          <w:tcPr>
            <w:tcW w:w="560" w:type="dxa"/>
            <w:vAlign w:val="bottom"/>
            <w:tcBorders>
              <w:top w:val="single" w:sz="8" w:color="2B4C9B"/>
            </w:tcBorders>
          </w:tcPr>
          <w:p>
            <w:pPr>
              <w:spacing w:after="0"/>
              <w:rPr>
                <w:sz w:val="22"/>
                <w:szCs w:val="22"/>
                <w:color w:val="auto"/>
              </w:rPr>
            </w:pPr>
          </w:p>
        </w:tc>
        <w:tc>
          <w:tcPr>
            <w:tcW w:w="1120" w:type="dxa"/>
            <w:vAlign w:val="bottom"/>
            <w:tcBorders>
              <w:top w:val="single" w:sz="8" w:color="2B4C9B"/>
            </w:tcBorders>
          </w:tcPr>
          <w:p>
            <w:pPr>
              <w:spacing w:after="0"/>
              <w:rPr>
                <w:sz w:val="22"/>
                <w:szCs w:val="22"/>
                <w:color w:val="auto"/>
              </w:rPr>
            </w:pPr>
          </w:p>
        </w:tc>
      </w:tr>
      <w:tr>
        <w:trPr>
          <w:trHeight w:val="236"/>
        </w:trPr>
        <w:tc>
          <w:tcPr>
            <w:tcW w:w="7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shd w:val="clear" w:color="auto" w:fill="CFF0FC"/>
              </w:rPr>
              <w:t>DEDUCTIONS:</w:t>
            </w:r>
          </w:p>
        </w:tc>
        <w:tc>
          <w:tcPr>
            <w:tcW w:w="4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r>
      <w:tr>
        <w:trPr>
          <w:trHeight w:val="263"/>
        </w:trPr>
        <w:tc>
          <w:tcPr>
            <w:tcW w:w="7820" w:type="dxa"/>
            <w:vAlign w:val="bottom"/>
          </w:tcPr>
          <w:p>
            <w:pPr>
              <w:ind w:left="360"/>
              <w:spacing w:after="0"/>
              <w:rPr>
                <w:sz w:val="20"/>
                <w:szCs w:val="20"/>
                <w:color w:val="auto"/>
              </w:rPr>
            </w:pPr>
            <w:r>
              <w:rPr>
                <w:rFonts w:ascii="Arial" w:cs="Arial" w:eastAsia="Arial" w:hAnsi="Arial"/>
                <w:sz w:val="18"/>
                <w:szCs w:val="18"/>
                <w:color w:val="auto"/>
              </w:rPr>
              <w:t>Distributions paid to participants</w:t>
            </w:r>
          </w:p>
        </w:tc>
        <w:tc>
          <w:tcPr>
            <w:tcW w:w="420" w:type="dxa"/>
            <w:vAlign w:val="bottom"/>
          </w:tcPr>
          <w:p>
            <w:pPr>
              <w:spacing w:after="0"/>
              <w:rPr>
                <w:sz w:val="22"/>
                <w:szCs w:val="22"/>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b w:val="1"/>
                <w:bCs w:val="1"/>
                <w:color w:val="2B4C9B"/>
              </w:rPr>
              <w:t>231,640</w:t>
            </w:r>
          </w:p>
        </w:tc>
        <w:tc>
          <w:tcPr>
            <w:tcW w:w="5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254,098</w:t>
            </w:r>
          </w:p>
        </w:tc>
      </w:tr>
      <w:tr>
        <w:trPr>
          <w:trHeight w:val="282"/>
        </w:trPr>
        <w:tc>
          <w:tcPr>
            <w:tcW w:w="78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shd w:val="clear" w:color="auto" w:fill="CFF0FC"/>
              </w:rPr>
              <w:t>Administrative expenses</w:t>
            </w:r>
          </w:p>
        </w:tc>
        <w:tc>
          <w:tcPr>
            <w:tcW w:w="4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1,325</w:t>
            </w:r>
          </w:p>
        </w:tc>
        <w:tc>
          <w:tcPr>
            <w:tcW w:w="5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1,256</w:t>
            </w:r>
          </w:p>
        </w:tc>
      </w:tr>
      <w:tr>
        <w:trPr>
          <w:trHeight w:val="257"/>
        </w:trPr>
        <w:tc>
          <w:tcPr>
            <w:tcW w:w="7820" w:type="dxa"/>
            <w:vAlign w:val="bottom"/>
            <w:tcBorders>
              <w:top w:val="single" w:sz="8" w:color="2B4C9B"/>
              <w:bottom w:val="single" w:sz="8" w:color="2B4C9B"/>
            </w:tcBorders>
          </w:tcPr>
          <w:p>
            <w:pPr>
              <w:ind w:left="680"/>
              <w:spacing w:after="0"/>
              <w:rPr>
                <w:sz w:val="20"/>
                <w:szCs w:val="20"/>
                <w:color w:val="auto"/>
              </w:rPr>
            </w:pPr>
            <w:r>
              <w:rPr>
                <w:rFonts w:ascii="Arial" w:cs="Arial" w:eastAsia="Arial" w:hAnsi="Arial"/>
                <w:sz w:val="18"/>
                <w:szCs w:val="18"/>
                <w:color w:val="auto"/>
              </w:rPr>
              <w:t>Total deductions</w:t>
            </w:r>
          </w:p>
        </w:tc>
        <w:tc>
          <w:tcPr>
            <w:tcW w:w="420" w:type="dxa"/>
            <w:vAlign w:val="bottom"/>
            <w:tcBorders>
              <w:top w:val="single" w:sz="8" w:color="2B4C9B"/>
              <w:bottom w:val="single" w:sz="8" w:color="2B4C9B"/>
            </w:tcBorders>
          </w:tcPr>
          <w:p>
            <w:pPr>
              <w:spacing w:after="0"/>
              <w:rPr>
                <w:sz w:val="22"/>
                <w:szCs w:val="22"/>
                <w:color w:val="auto"/>
              </w:rPr>
            </w:pPr>
          </w:p>
        </w:tc>
        <w:tc>
          <w:tcPr>
            <w:tcW w:w="1320" w:type="dxa"/>
            <w:vAlign w:val="bottom"/>
            <w:tcBorders>
              <w:top w:val="single" w:sz="8" w:color="2B4C9B"/>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232,965</w:t>
            </w:r>
          </w:p>
        </w:tc>
        <w:tc>
          <w:tcPr>
            <w:tcW w:w="560" w:type="dxa"/>
            <w:vAlign w:val="bottom"/>
            <w:tcBorders>
              <w:top w:val="single" w:sz="8" w:color="2B4C9B"/>
              <w:bottom w:val="single" w:sz="8" w:color="2B4C9B"/>
            </w:tcBorders>
          </w:tcPr>
          <w:p>
            <w:pPr>
              <w:spacing w:after="0"/>
              <w:rPr>
                <w:sz w:val="22"/>
                <w:szCs w:val="22"/>
                <w:color w:val="auto"/>
              </w:rPr>
            </w:pPr>
          </w:p>
        </w:tc>
        <w:tc>
          <w:tcPr>
            <w:tcW w:w="1120" w:type="dxa"/>
            <w:vAlign w:val="bottom"/>
            <w:tcBorders>
              <w:top w:val="single" w:sz="8" w:color="2B4C9B"/>
              <w:bottom w:val="single" w:sz="8" w:color="2B4C9B"/>
            </w:tcBorders>
          </w:tcPr>
          <w:p>
            <w:pPr>
              <w:jc w:val="right"/>
              <w:ind w:right="12"/>
              <w:spacing w:after="0"/>
              <w:rPr>
                <w:sz w:val="20"/>
                <w:szCs w:val="20"/>
                <w:color w:val="auto"/>
              </w:rPr>
            </w:pPr>
            <w:r>
              <w:rPr>
                <w:rFonts w:ascii="Arial" w:cs="Arial" w:eastAsia="Arial" w:hAnsi="Arial"/>
                <w:sz w:val="18"/>
                <w:szCs w:val="18"/>
                <w:color w:val="auto"/>
              </w:rPr>
              <w:t>255,354</w:t>
            </w:r>
          </w:p>
        </w:tc>
      </w:tr>
      <w:tr>
        <w:trPr>
          <w:trHeight w:val="270"/>
        </w:trPr>
        <w:tc>
          <w:tcPr>
            <w:tcW w:w="782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r>
      <w:tr>
        <w:trPr>
          <w:trHeight w:val="250"/>
        </w:trPr>
        <w:tc>
          <w:tcPr>
            <w:tcW w:w="7820" w:type="dxa"/>
            <w:vAlign w:val="bottom"/>
          </w:tcPr>
          <w:p>
            <w:pPr>
              <w:ind w:left="40"/>
              <w:spacing w:after="0"/>
              <w:rPr>
                <w:sz w:val="20"/>
                <w:szCs w:val="20"/>
                <w:color w:val="auto"/>
              </w:rPr>
            </w:pPr>
            <w:r>
              <w:rPr>
                <w:rFonts w:ascii="Arial" w:cs="Arial" w:eastAsia="Arial" w:hAnsi="Arial"/>
                <w:sz w:val="18"/>
                <w:szCs w:val="18"/>
                <w:color w:val="auto"/>
                <w:w w:val="99"/>
              </w:rPr>
              <w:t>INCREASE (DECREASE) IN NET ASSETS AVAILABLE FOR BENEFITS BEFORE TRANSFERS</w:t>
            </w:r>
          </w:p>
        </w:tc>
        <w:tc>
          <w:tcPr>
            <w:tcW w:w="4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b w:val="1"/>
                <w:bCs w:val="1"/>
                <w:color w:val="2B4C9B"/>
              </w:rPr>
              <w:t>489,533</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(217,961)</w:t>
            </w:r>
          </w:p>
        </w:tc>
      </w:tr>
      <w:tr>
        <w:trPr>
          <w:trHeight w:val="304"/>
        </w:trPr>
        <w:tc>
          <w:tcPr>
            <w:tcW w:w="78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r>
      <w:tr>
        <w:trPr>
          <w:trHeight w:val="250"/>
        </w:trPr>
        <w:tc>
          <w:tcPr>
            <w:tcW w:w="7820" w:type="dxa"/>
            <w:vAlign w:val="bottom"/>
            <w:tcBorders>
              <w:bottom w:val="single" w:sz="8" w:color="2B4C9B"/>
            </w:tcBorders>
          </w:tcPr>
          <w:p>
            <w:pPr>
              <w:ind w:left="40"/>
              <w:spacing w:after="0"/>
              <w:rPr>
                <w:sz w:val="20"/>
                <w:szCs w:val="20"/>
                <w:color w:val="auto"/>
              </w:rPr>
            </w:pPr>
            <w:r>
              <w:rPr>
                <w:rFonts w:ascii="Arial" w:cs="Arial" w:eastAsia="Arial" w:hAnsi="Arial"/>
                <w:sz w:val="18"/>
                <w:szCs w:val="18"/>
                <w:color w:val="auto"/>
              </w:rPr>
              <w:t>NET TRANSFERS FROM OTHER PLANS</w:t>
            </w:r>
          </w:p>
        </w:tc>
        <w:tc>
          <w:tcPr>
            <w:tcW w:w="420" w:type="dxa"/>
            <w:vAlign w:val="bottom"/>
            <w:tcBorders>
              <w:bottom w:val="single" w:sz="8" w:color="2B4C9B"/>
            </w:tcBorders>
          </w:tcPr>
          <w:p>
            <w:pPr>
              <w:spacing w:after="0"/>
              <w:rPr>
                <w:sz w:val="21"/>
                <w:szCs w:val="21"/>
                <w:color w:val="auto"/>
              </w:rPr>
            </w:pPr>
          </w:p>
        </w:tc>
        <w:tc>
          <w:tcPr>
            <w:tcW w:w="132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95,191</w:t>
            </w:r>
          </w:p>
        </w:tc>
        <w:tc>
          <w:tcPr>
            <w:tcW w:w="560" w:type="dxa"/>
            <w:vAlign w:val="bottom"/>
            <w:tcBorders>
              <w:bottom w:val="single" w:sz="8" w:color="2B4C9B"/>
            </w:tcBorders>
          </w:tcPr>
          <w:p>
            <w:pPr>
              <w:spacing w:after="0"/>
              <w:rPr>
                <w:sz w:val="21"/>
                <w:szCs w:val="21"/>
                <w:color w:val="auto"/>
              </w:rPr>
            </w:pPr>
          </w:p>
        </w:tc>
        <w:tc>
          <w:tcPr>
            <w:tcW w:w="112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82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320" w:type="dxa"/>
            <w:vAlign w:val="bottom"/>
            <w:shd w:val="clear" w:color="auto" w:fill="CFF0FC"/>
          </w:tcPr>
          <w:p>
            <w:pPr>
              <w:spacing w:after="0"/>
              <w:rPr>
                <w:sz w:val="23"/>
                <w:szCs w:val="23"/>
                <w:color w:val="auto"/>
              </w:rPr>
            </w:pPr>
          </w:p>
        </w:tc>
        <w:tc>
          <w:tcPr>
            <w:tcW w:w="5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r>
      <w:tr>
        <w:trPr>
          <w:trHeight w:val="263"/>
        </w:trPr>
        <w:tc>
          <w:tcPr>
            <w:tcW w:w="7820" w:type="dxa"/>
            <w:vAlign w:val="bottom"/>
          </w:tcPr>
          <w:p>
            <w:pPr>
              <w:ind w:left="40"/>
              <w:spacing w:after="0"/>
              <w:rPr>
                <w:sz w:val="20"/>
                <w:szCs w:val="20"/>
                <w:color w:val="auto"/>
              </w:rPr>
            </w:pPr>
            <w:r>
              <w:rPr>
                <w:rFonts w:ascii="Arial" w:cs="Arial" w:eastAsia="Arial" w:hAnsi="Arial"/>
                <w:sz w:val="18"/>
                <w:szCs w:val="18"/>
                <w:color w:val="auto"/>
              </w:rPr>
              <w:t>INCREASE (DECREASE) IN NET ASSETS AVAILABLE FOR BENEFITS</w:t>
            </w:r>
          </w:p>
        </w:tc>
        <w:tc>
          <w:tcPr>
            <w:tcW w:w="420" w:type="dxa"/>
            <w:vAlign w:val="bottom"/>
          </w:tcPr>
          <w:p>
            <w:pPr>
              <w:spacing w:after="0"/>
              <w:rPr>
                <w:sz w:val="22"/>
                <w:szCs w:val="22"/>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b w:val="1"/>
                <w:bCs w:val="1"/>
                <w:color w:val="2B4C9B"/>
              </w:rPr>
              <w:t>584,724</w:t>
            </w: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(217,961)</w:t>
            </w:r>
          </w:p>
        </w:tc>
      </w:tr>
      <w:tr>
        <w:trPr>
          <w:trHeight w:val="277"/>
        </w:trPr>
        <w:tc>
          <w:tcPr>
            <w:tcW w:w="78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r>
      <w:tr>
        <w:trPr>
          <w:trHeight w:val="250"/>
        </w:trPr>
        <w:tc>
          <w:tcPr>
            <w:tcW w:w="7820" w:type="dxa"/>
            <w:vAlign w:val="bottom"/>
          </w:tcPr>
          <w:p>
            <w:pPr>
              <w:ind w:left="40"/>
              <w:spacing w:after="0"/>
              <w:rPr>
                <w:sz w:val="20"/>
                <w:szCs w:val="20"/>
                <w:color w:val="auto"/>
              </w:rPr>
            </w:pPr>
            <w:r>
              <w:rPr>
                <w:rFonts w:ascii="Arial" w:cs="Arial" w:eastAsia="Arial" w:hAnsi="Arial"/>
                <w:sz w:val="18"/>
                <w:szCs w:val="18"/>
                <w:color w:val="auto"/>
              </w:rPr>
              <w:t>NET ASSETS AVAILABLE FOR BENEFITS:</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7820" w:type="dxa"/>
            <w:vAlign w:val="bottom"/>
            <w:tcBorders>
              <w:bottom w:val="single" w:sz="8" w:color="2B4C9B"/>
            </w:tcBorders>
            <w:shd w:val="clear" w:color="auto" w:fill="CFF0FC"/>
          </w:tcPr>
          <w:p>
            <w:pPr>
              <w:ind w:left="360"/>
              <w:spacing w:after="0"/>
              <w:rPr>
                <w:sz w:val="20"/>
                <w:szCs w:val="20"/>
                <w:color w:val="auto"/>
              </w:rPr>
            </w:pPr>
            <w:r>
              <w:rPr>
                <w:rFonts w:ascii="Arial" w:cs="Arial" w:eastAsia="Arial" w:hAnsi="Arial"/>
                <w:sz w:val="18"/>
                <w:szCs w:val="18"/>
                <w:color w:val="auto"/>
              </w:rPr>
              <w:t>Beginning of year</w:t>
            </w:r>
          </w:p>
        </w:tc>
        <w:tc>
          <w:tcPr>
            <w:tcW w:w="420" w:type="dxa"/>
            <w:vAlign w:val="bottom"/>
            <w:tcBorders>
              <w:bottom w:val="single" w:sz="8" w:color="2B4C9B"/>
            </w:tcBorders>
            <w:shd w:val="clear" w:color="auto" w:fill="CFF0FC"/>
          </w:tcPr>
          <w:p>
            <w:pPr>
              <w:spacing w:after="0"/>
              <w:rPr>
                <w:sz w:val="23"/>
                <w:szCs w:val="23"/>
                <w:color w:val="auto"/>
              </w:rPr>
            </w:pPr>
          </w:p>
        </w:tc>
        <w:tc>
          <w:tcPr>
            <w:tcW w:w="132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2,431,216</w:t>
            </w:r>
          </w:p>
        </w:tc>
        <w:tc>
          <w:tcPr>
            <w:tcW w:w="560" w:type="dxa"/>
            <w:vAlign w:val="bottom"/>
            <w:tcBorders>
              <w:bottom w:val="single" w:sz="8" w:color="2B4C9B"/>
            </w:tcBorders>
            <w:shd w:val="clear" w:color="auto" w:fill="CFF0FC"/>
          </w:tcPr>
          <w:p>
            <w:pPr>
              <w:spacing w:after="0"/>
              <w:rPr>
                <w:sz w:val="23"/>
                <w:szCs w:val="23"/>
                <w:color w:val="auto"/>
              </w:rPr>
            </w:pPr>
          </w:p>
        </w:tc>
        <w:tc>
          <w:tcPr>
            <w:tcW w:w="1120" w:type="dxa"/>
            <w:vAlign w:val="bottom"/>
            <w:tcBorders>
              <w:bottom w:val="single" w:sz="8" w:color="2B4C9B"/>
            </w:tcBorders>
            <w:shd w:val="clear" w:color="auto" w:fill="CFF0FC"/>
          </w:tcPr>
          <w:p>
            <w:pPr>
              <w:jc w:val="right"/>
              <w:ind w:right="12"/>
              <w:spacing w:after="0"/>
              <w:rPr>
                <w:sz w:val="20"/>
                <w:szCs w:val="20"/>
                <w:color w:val="auto"/>
              </w:rPr>
            </w:pPr>
            <w:r>
              <w:rPr>
                <w:rFonts w:ascii="Arial" w:cs="Arial" w:eastAsia="Arial" w:hAnsi="Arial"/>
                <w:sz w:val="18"/>
                <w:szCs w:val="18"/>
                <w:color w:val="auto"/>
              </w:rPr>
              <w:t>2,649,177</w:t>
            </w:r>
          </w:p>
        </w:tc>
      </w:tr>
      <w:tr>
        <w:trPr>
          <w:trHeight w:val="277"/>
        </w:trPr>
        <w:tc>
          <w:tcPr>
            <w:tcW w:w="782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End of year</w:t>
            </w:r>
          </w:p>
        </w:tc>
        <w:tc>
          <w:tcPr>
            <w:tcW w:w="420" w:type="dxa"/>
            <w:vAlign w:val="bottom"/>
            <w:tcBorders>
              <w:bottom w:val="single" w:sz="8" w:color="2B4C9B"/>
            </w:tcBorders>
          </w:tcPr>
          <w:p>
            <w:pPr>
              <w:jc w:val="right"/>
              <w:ind w:right="170"/>
              <w:spacing w:after="0"/>
              <w:rPr>
                <w:sz w:val="20"/>
                <w:szCs w:val="20"/>
                <w:color w:val="auto"/>
              </w:rPr>
            </w:pPr>
            <w:r>
              <w:rPr>
                <w:rFonts w:ascii="Arial" w:cs="Arial" w:eastAsia="Arial" w:hAnsi="Arial"/>
                <w:sz w:val="18"/>
                <w:szCs w:val="18"/>
                <w:b w:val="1"/>
                <w:bCs w:val="1"/>
                <w:color w:val="2B4C9B"/>
              </w:rPr>
              <w:t>$</w:t>
            </w:r>
          </w:p>
        </w:tc>
        <w:tc>
          <w:tcPr>
            <w:tcW w:w="132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3,015,940</w:t>
            </w:r>
          </w:p>
        </w:tc>
        <w:tc>
          <w:tcPr>
            <w:tcW w:w="560" w:type="dxa"/>
            <w:vAlign w:val="bottom"/>
            <w:tcBorders>
              <w:bottom w:val="single" w:sz="8" w:color="2B4C9B"/>
            </w:tcBorders>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2B4C9B"/>
            </w:tcBorders>
          </w:tcPr>
          <w:p>
            <w:pPr>
              <w:jc w:val="right"/>
              <w:ind w:right="12"/>
              <w:spacing w:after="0"/>
              <w:rPr>
                <w:sz w:val="20"/>
                <w:szCs w:val="20"/>
                <w:color w:val="auto"/>
              </w:rPr>
            </w:pPr>
            <w:r>
              <w:rPr>
                <w:rFonts w:ascii="Arial" w:cs="Arial" w:eastAsia="Arial" w:hAnsi="Arial"/>
                <w:sz w:val="18"/>
                <w:szCs w:val="18"/>
                <w:color w:val="auto"/>
              </w:rPr>
              <w:t>2,431,216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2B4C9B"/>
        </w:rPr>
        <w:t xml:space="preserve">- </w:t>
      </w:r>
      <w:r>
        <w:rPr>
          <w:rFonts w:ascii="Arial" w:cs="Arial" w:eastAsia="Arial" w:hAnsi="Arial"/>
          <w:sz w:val="16"/>
          <w:szCs w:val="16"/>
          <w:color w:val="2B4C9B"/>
        </w:rPr>
        <w:t>3 -</w:t>
      </w:r>
    </w:p>
    <w:p>
      <w:pPr>
        <w:sectPr>
          <w:pgSz w:w="11900" w:h="16838" w:orient="portrait"/>
          <w:cols w:equalWidth="0" w:num="1">
            <w:col w:w="11240"/>
          </w:cols>
          <w:pgMar w:left="320" w:top="118"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2B4C9B"/>
        </w:rPr>
      </w:pPr>
      <w:r>
        <w:rPr>
          <w:rFonts w:ascii="Arial" w:cs="Arial" w:eastAsia="Arial" w:hAnsi="Arial"/>
          <w:sz w:val="18"/>
          <w:szCs w:val="18"/>
          <w:b w:val="1"/>
          <w:bCs w:val="1"/>
          <w:color w:val="2B4C9B"/>
        </w:rPr>
        <w:t>DESCRIPTION OF THE PLAN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brief description of the Science Applications International Corporation Retirement Plan (the “Plan”) is for general information purposes only. Participants should refer to the Plan document and the Summary Plan Description for complete information regarding the Plan. Within these financial statements, Science Applications International Corporation (the “Company”) refers to the sponsoring employer.</w:t>
      </w:r>
    </w:p>
    <w:p>
      <w:pPr>
        <w:spacing w:after="0" w:line="139"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General</w:t>
      </w:r>
      <w:r>
        <w:rPr>
          <w:rFonts w:ascii="Arial" w:cs="Arial" w:eastAsia="Arial" w:hAnsi="Arial"/>
          <w:sz w:val="18"/>
          <w:szCs w:val="18"/>
          <w:color w:val="000000"/>
        </w:rPr>
        <w:t>—The Plan is a defined contribution plan sponsored by the Company and is subject to the provisions of the Employee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Retirement Income Security Act of 1974, as amended (“ERISA”). The Plan is a 401(k) plan with profit-sharing and employee stock ownership plan (“ESOP”) features. Both employee and Company contributions to the Plan are held in a qualified retirement trust fund. The Science Applications International Corporation Benefit Plans Committee is the Plan’s named fiduciary for purposes of Section 402(a) of ERISA.</w:t>
      </w:r>
    </w:p>
    <w:p>
      <w:pPr>
        <w:spacing w:after="0" w:line="139"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Investment Funds</w:t>
      </w:r>
      <w:r>
        <w:rPr>
          <w:rFonts w:ascii="Arial" w:cs="Arial" w:eastAsia="Arial" w:hAnsi="Arial"/>
          <w:sz w:val="18"/>
          <w:szCs w:val="18"/>
          <w:color w:val="000000"/>
        </w:rPr>
        <w:t>—As of December 31, 2019, the Plan held investments in 8 mutual funds, 19 common collective trust funds, a self-directed brokerage fund, and 2 Company stock funds: the SAIC Common Stock Fund and the SAIC Closed Stock Fund (collectively, the “Stock Funds”). All amounts in the Stock Funds are invested in Science Applications International Corporation common stock, except for estimated cash reserves, which are invested in the Vanguard Federal Money Market Fund and are primarily used to provide future benefit distributions and facilitate investment exchanges.</w:t>
      </w:r>
    </w:p>
    <w:p>
      <w:pPr>
        <w:spacing w:after="0" w:line="13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b w:val="1"/>
          <w:bCs w:val="1"/>
          <w:i w:val="1"/>
          <w:iCs w:val="1"/>
          <w:color w:val="2B4C9B"/>
        </w:rPr>
        <w:t>Eligibility</w:t>
      </w:r>
      <w:r>
        <w:rPr>
          <w:rFonts w:ascii="Arial" w:cs="Arial" w:eastAsia="Arial" w:hAnsi="Arial"/>
          <w:sz w:val="18"/>
          <w:szCs w:val="18"/>
          <w:color w:val="000000"/>
        </w:rPr>
        <w:t>—Employees of the Company are eligible to participate in the Plan. Employees must be in an eligible fringe benefit package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to be eligible to receive Company matching 401(k) contributions. Generally, employees may make elective contributions and receive Company matching 401(k) contributions upon commencing employment.</w:t>
      </w:r>
    </w:p>
    <w:p>
      <w:pPr>
        <w:spacing w:after="0" w:line="130"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Participant Contributions</w:t>
      </w:r>
      <w:r>
        <w:rPr>
          <w:rFonts w:ascii="Arial" w:cs="Arial" w:eastAsia="Arial" w:hAnsi="Arial"/>
          <w:sz w:val="18"/>
          <w:szCs w:val="18"/>
          <w:color w:val="000000"/>
        </w:rPr>
        <w:t>—The Plan permits participants to contribute up to 75% of their eligible compensation to the Plan, subject to</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statutory limitations. Participants may also contribute amounts representing rollovers from other qualified plans. Participant contributions are invested according to participant direction into any of the available investment funds of the Plan. Participant contributions and rollovers to the SAIC Common Stock Fund are limited to a maximum of 50% of the employee deferral or rollover, as applicable.</w:t>
      </w:r>
    </w:p>
    <w:p>
      <w:pPr>
        <w:spacing w:after="0" w:line="139"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b w:val="1"/>
          <w:bCs w:val="1"/>
          <w:i w:val="1"/>
          <w:iCs w:val="1"/>
          <w:color w:val="2B4C9B"/>
        </w:rPr>
        <w:t>Employer Contributions</w:t>
      </w:r>
      <w:r>
        <w:rPr>
          <w:rFonts w:ascii="Arial" w:cs="Arial" w:eastAsia="Arial" w:hAnsi="Arial"/>
          <w:sz w:val="18"/>
          <w:szCs w:val="18"/>
          <w:color w:val="000000"/>
        </w:rPr>
        <w:t>—The Company may make matching 401(k) contributions. Eligible participants may receive Company</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matching 401(k) contributions based on a percentage (up to a maximum match percentage of 4%), depending on the fringe benefit package, which are invested per participant direction. Company contributions to the Plan for the Plan years ended December 31, 2019 and 2018 were made in cash. The Company, at its discretion, may also make additional contributions to the Plan for the benefit of non-highly compensated participants in order to comply with Section 401(k) (3) of the Internal Revenue Code ("IRC"); however, the Company made no such additional contributions for the Plan years ended December 31, 2019 and 2018.</w:t>
      </w:r>
    </w:p>
    <w:p>
      <w:pPr>
        <w:spacing w:after="0" w:line="142"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i w:val="1"/>
          <w:iCs w:val="1"/>
          <w:color w:val="2B4C9B"/>
        </w:rPr>
        <w:t>Participant Accounts</w:t>
      </w:r>
      <w:r>
        <w:rPr>
          <w:rFonts w:ascii="Arial" w:cs="Arial" w:eastAsia="Arial" w:hAnsi="Arial"/>
          <w:sz w:val="18"/>
          <w:szCs w:val="18"/>
          <w:color w:val="000000"/>
        </w:rPr>
        <w:t>—In accordance with Plan provisions, individual accounts are maintained for each Plan participant. Each</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participant’s account is credited with the participant’s contributions, and if eligible, allocations of Company contributions. Allocations are based on participant eligible compensation, as defined in the Plan document. Participant accounts also reflect changes from investment income and losses and from distributions. The benefit to which a participant is entitled is the vested balance of his or her account.</w:t>
      </w:r>
    </w:p>
    <w:p>
      <w:pPr>
        <w:spacing w:after="0" w:line="136"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b w:val="1"/>
          <w:bCs w:val="1"/>
          <w:i w:val="1"/>
          <w:iCs w:val="1"/>
          <w:color w:val="2B4C9B"/>
        </w:rPr>
        <w:t>Plan Amendments and Termination</w:t>
      </w:r>
      <w:r>
        <w:rPr>
          <w:rFonts w:ascii="Arial" w:cs="Arial" w:eastAsia="Arial" w:hAnsi="Arial"/>
          <w:sz w:val="18"/>
          <w:szCs w:val="18"/>
          <w:color w:val="000000"/>
        </w:rPr>
        <w:t>—Effective October 3, 2018, the Plan was amended to make an administrative correction</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regarding the name of the Science Applications International Corporation Benefit Plans Committee.</w:t>
      </w:r>
    </w:p>
    <w:p>
      <w:pPr>
        <w:spacing w:after="0" w:line="134"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In connection with the Company's acquisition of Engility Corporation during the year ended December 31, 2019, on December 19, 2019, the Plan was amended to merge the Engility Master Savings Plan ("MSP") into the Plan and to adopt certain other provisions regarding vesting of MSP balances and timing of Company contributions, effective January 1, 2020.</w:t>
      </w:r>
    </w:p>
    <w:p>
      <w:pPr>
        <w:spacing w:after="0" w:line="161" w:lineRule="exact"/>
        <w:rPr>
          <w:sz w:val="20"/>
          <w:szCs w:val="20"/>
          <w:color w:val="auto"/>
        </w:rPr>
      </w:pPr>
    </w:p>
    <w:p>
      <w:pPr>
        <w:jc w:val="both"/>
        <w:ind w:left="460"/>
        <w:spacing w:after="0" w:line="261" w:lineRule="auto"/>
        <w:rPr>
          <w:sz w:val="20"/>
          <w:szCs w:val="20"/>
          <w:color w:val="auto"/>
        </w:rPr>
      </w:pPr>
      <w:r>
        <w:rPr>
          <w:rFonts w:ascii="Arial" w:cs="Arial" w:eastAsia="Arial" w:hAnsi="Arial"/>
          <w:sz w:val="18"/>
          <w:szCs w:val="18"/>
          <w:color w:val="auto"/>
        </w:rPr>
        <w:t>Although it has not expressed any intent to do so, the Company has the right under the Plan to discontinue its contributions and to terminate the Plan at any time subject to the provisions of ERISA.</w:t>
      </w:r>
    </w:p>
    <w:p>
      <w:pPr>
        <w:spacing w:after="0" w:line="135"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b w:val="1"/>
          <w:bCs w:val="1"/>
          <w:i w:val="1"/>
          <w:iCs w:val="1"/>
          <w:color w:val="2B4C9B"/>
        </w:rPr>
        <w:t>Vesting and Forfeitures</w:t>
      </w:r>
      <w:r>
        <w:rPr>
          <w:rFonts w:ascii="Arial" w:cs="Arial" w:eastAsia="Arial" w:hAnsi="Arial"/>
          <w:sz w:val="18"/>
          <w:szCs w:val="18"/>
          <w:color w:val="000000"/>
        </w:rPr>
        <w:t>—Participants’ elective deferrals, rollover contributions and Company contributions together with associated</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earnings vest immediately.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4 -</w:t>
      </w:r>
    </w:p>
    <w:p>
      <w:pPr>
        <w:sectPr>
          <w:pgSz w:w="11900" w:h="16838" w:orient="portrait"/>
          <w:cols w:equalWidth="0" w:num="1">
            <w:col w:w="11240"/>
          </w:cols>
          <w:pgMar w:left="320" w:top="118" w:right="339" w:bottom="1440" w:gutter="0" w:footer="0" w:header="0"/>
        </w:sectPr>
      </w:pPr>
    </w:p>
    <w:bookmarkStart w:id="6" w:name="page7"/>
    <w:bookmarkEnd w:id="6"/>
    <w:p>
      <w:pPr>
        <w:jc w:val="center"/>
        <w:ind w:right="80"/>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2B4C9B"/>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b w:val="1"/>
          <w:bCs w:val="1"/>
          <w:i w:val="1"/>
          <w:iCs w:val="1"/>
          <w:color w:val="2B4C9B"/>
        </w:rPr>
        <w:t>Notes Receivable from Participants</w:t>
      </w:r>
      <w:r>
        <w:rPr>
          <w:rFonts w:ascii="Arial" w:cs="Arial" w:eastAsia="Arial" w:hAnsi="Arial"/>
          <w:sz w:val="18"/>
          <w:szCs w:val="18"/>
          <w:color w:val="000000"/>
        </w:rPr>
        <w:t>—Participants may borrow up to 50% of their vested account balance, up to a maximum of</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$50,000. Loan repayment periods may not exceed 60 months except for loans used to acquire a principal residence, in which case the repayment period may not exceed 30 years. If a participant defaults on a loan, it becomes a deemed distribution from the Plan to the participant. The loans bear interest at a rate commensurate with local prevailing rates as determined monthly by the Plan administrator. Principal and interest are collected ratably through payroll deductions.</w:t>
      </w:r>
    </w:p>
    <w:p>
      <w:pPr>
        <w:spacing w:after="0" w:line="139"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b w:val="1"/>
          <w:bCs w:val="1"/>
          <w:i w:val="1"/>
          <w:iCs w:val="1"/>
          <w:color w:val="2B4C9B"/>
        </w:rPr>
        <w:t>Distributions to Participants</w:t>
      </w:r>
      <w:r>
        <w:rPr>
          <w:rFonts w:ascii="Arial" w:cs="Arial" w:eastAsia="Arial" w:hAnsi="Arial"/>
          <w:sz w:val="18"/>
          <w:szCs w:val="18"/>
          <w:color w:val="000000"/>
        </w:rPr>
        <w:t>—For vested account balances less than $1,000, participants receive their vested account balance in a</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single lump sum following termination of employment with the Company. For vested account balances between $1,000 and $5,000, a participant’s vested account balance is automatically rolled over into an Individual Retirement Account. For vested account balances that exceed $5,000, balances are not distributed unless the participant elects to take a distribution following the participant’s termination of employment with the Company. Regardless of the existing account balance, distributions are made when participants die or become permanently disabled while employed by the Company. After attaining the age of 59-1/2, a participant may make withdrawals even if still employed by the Company. Participants may make withdrawals from the Plan prior to attaining the age of 59-1/2 from their rollover account or if the participant incurs a financial hardship, as specified by the Plan document. Former employees, regardless of their age, may elect to receive up to two distributions in any given Plan year, of all or a portion of their account balance.</w:t>
      </w:r>
    </w:p>
    <w:p>
      <w:pPr>
        <w:spacing w:after="0" w:line="140"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b w:val="1"/>
          <w:bCs w:val="1"/>
          <w:i w:val="1"/>
          <w:iCs w:val="1"/>
          <w:color w:val="2B4C9B"/>
        </w:rPr>
        <w:t>Tax Status</w:t>
      </w:r>
      <w:r>
        <w:rPr>
          <w:rFonts w:ascii="Arial" w:cs="Arial" w:eastAsia="Arial" w:hAnsi="Arial"/>
          <w:sz w:val="18"/>
          <w:szCs w:val="18"/>
          <w:color w:val="000000"/>
        </w:rPr>
        <w:t>—The Internal Revenue Service (“IRS”) has determined and informed the Company by a letter dated February 28, 2014,</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that the Plan was designed in accordance with the applicable requirements of the IRC. Although the Plan has been amended since receiving the determination letter, the Company and the Plan’s tax counsel believe that the Plan is designed, and is currently being operated, in compliance with the applicable requirements of the IRC and, therefore, believe that the Plan is qualified, and the related trust is tax-exempt. Accordingly, no provision for income taxes has been included in the Plan’s financial statements. Management recognizes tax liabilities for uncertainty in income taxes when it is more likely than not that a tax position would not be sustained upon examination by and settlement with the IRS. The Plan is subject to routine audits by taxing jurisdictions, and the Company's tax returns for its fiscal years 2016 and 2017 (generally corresponding to Plan years 2015 and 2016) are currently under audit by the IRS. Management believes it is no longer subject to income tax examinations for Plan years prior to 2015.</w:t>
      </w:r>
    </w:p>
    <w:p>
      <w:pPr>
        <w:spacing w:after="0" w:line="140"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b w:val="1"/>
          <w:bCs w:val="1"/>
          <w:i w:val="1"/>
          <w:iCs w:val="1"/>
          <w:color w:val="2B4C9B"/>
        </w:rPr>
        <w:t>Related-Party Transactions</w:t>
      </w:r>
      <w:r>
        <w:rPr>
          <w:rFonts w:ascii="Arial" w:cs="Arial" w:eastAsia="Arial" w:hAnsi="Arial"/>
          <w:sz w:val="18"/>
          <w:szCs w:val="18"/>
          <w:color w:val="000000"/>
        </w:rPr>
        <w:t>—Certain Plan investments are managed by The Vanguard Group, the Plan’s record-keeper; therefore,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transactions with these investments qualify as party-in-interest transactions. Fees paid to the record-keeper were approximately $1,325,000 and $1,256,000 for the years ended December 31, 2019 and 2018, respectively. There were no amounts payable to the Plan’s record-keeper as of December 31, 2019 and 2018. Members of the Science Applications International Corporation Benefit Plans Committee also participate in the Plan and qualify as parties-in-interest.</w:t>
      </w:r>
    </w:p>
    <w:p>
      <w:pPr>
        <w:spacing w:after="0" w:line="161"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color w:val="auto"/>
        </w:rPr>
        <w:t>Science Applications International Corporation is the sponsoring employer as of December 31, 2019 and 2018. At December 31, 2019 and 2018, the following Science Applications International Corporation shares were held by the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1420" w:type="dxa"/>
            <w:vAlign w:val="bottom"/>
            <w:tcBorders>
              <w:bottom w:val="single" w:sz="8" w:color="2B4C9B"/>
            </w:tcBorders>
          </w:tcPr>
          <w:p>
            <w:pPr>
              <w:jc w:val="right"/>
              <w:ind w:right="4"/>
              <w:spacing w:after="0"/>
              <w:rPr>
                <w:sz w:val="20"/>
                <w:szCs w:val="20"/>
                <w:color w:val="auto"/>
              </w:rPr>
            </w:pPr>
            <w:r>
              <w:rPr>
                <w:rFonts w:ascii="Arial" w:cs="Arial" w:eastAsia="Arial" w:hAnsi="Arial"/>
                <w:sz w:val="14"/>
                <w:szCs w:val="14"/>
                <w:b w:val="1"/>
                <w:bCs w:val="1"/>
                <w:color w:val="2B4C9B"/>
              </w:rPr>
              <w:t>2019</w:t>
            </w:r>
          </w:p>
        </w:tc>
        <w:tc>
          <w:tcPr>
            <w:tcW w:w="920" w:type="dxa"/>
            <w:vAlign w:val="bottom"/>
            <w:tcBorders>
              <w:bottom w:val="single" w:sz="8" w:color="2B4C9B"/>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2B4C9B"/>
            </w:tcBorders>
          </w:tcPr>
          <w:p>
            <w:pPr>
              <w:spacing w:after="0"/>
              <w:rPr>
                <w:sz w:val="17"/>
                <w:szCs w:val="17"/>
                <w:color w:val="auto"/>
              </w:rPr>
            </w:pPr>
          </w:p>
        </w:tc>
        <w:tc>
          <w:tcPr>
            <w:tcW w:w="1020" w:type="dxa"/>
            <w:vAlign w:val="bottom"/>
            <w:tcBorders>
              <w:bottom w:val="single" w:sz="8" w:color="2B4C9B"/>
            </w:tcBorders>
          </w:tcPr>
          <w:p>
            <w:pPr>
              <w:jc w:val="right"/>
              <w:ind w:right="24"/>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2B4C9B"/>
            </w:tcBorders>
          </w:tcPr>
          <w:p>
            <w:pPr>
              <w:spacing w:after="0"/>
              <w:rPr>
                <w:sz w:val="17"/>
                <w:szCs w:val="17"/>
                <w:color w:val="auto"/>
              </w:rPr>
            </w:pPr>
          </w:p>
        </w:tc>
      </w:tr>
      <w:tr>
        <w:trPr>
          <w:trHeight w:val="175"/>
        </w:trPr>
        <w:tc>
          <w:tcPr>
            <w:tcW w:w="632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Arial" w:cs="Arial" w:eastAsia="Arial" w:hAnsi="Arial"/>
                <w:sz w:val="14"/>
                <w:szCs w:val="14"/>
                <w:b w:val="1"/>
                <w:bCs w:val="1"/>
                <w:color w:val="2B4C9B"/>
              </w:rPr>
              <w:t>Number of</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244"/>
              <w:spacing w:after="0"/>
              <w:rPr>
                <w:sz w:val="20"/>
                <w:szCs w:val="20"/>
                <w:color w:val="auto"/>
              </w:rPr>
            </w:pPr>
            <w:r>
              <w:rPr>
                <w:rFonts w:ascii="Arial" w:cs="Arial" w:eastAsia="Arial" w:hAnsi="Arial"/>
                <w:sz w:val="14"/>
                <w:szCs w:val="14"/>
                <w:color w:val="auto"/>
              </w:rPr>
              <w:t>Number of</w:t>
            </w:r>
          </w:p>
        </w:tc>
        <w:tc>
          <w:tcPr>
            <w:tcW w:w="900" w:type="dxa"/>
            <w:vAlign w:val="bottom"/>
          </w:tcPr>
          <w:p>
            <w:pPr>
              <w:spacing w:after="0"/>
              <w:rPr>
                <w:sz w:val="15"/>
                <w:szCs w:val="15"/>
                <w:color w:val="auto"/>
              </w:rPr>
            </w:pPr>
          </w:p>
        </w:tc>
      </w:tr>
      <w:tr>
        <w:trPr>
          <w:trHeight w:val="196"/>
        </w:trPr>
        <w:tc>
          <w:tcPr>
            <w:tcW w:w="6320" w:type="dxa"/>
            <w:vAlign w:val="bottom"/>
          </w:tcPr>
          <w:p>
            <w:pPr>
              <w:spacing w:after="0"/>
              <w:rPr>
                <w:sz w:val="17"/>
                <w:szCs w:val="17"/>
                <w:color w:val="auto"/>
              </w:rPr>
            </w:pPr>
          </w:p>
        </w:tc>
        <w:tc>
          <w:tcPr>
            <w:tcW w:w="1420" w:type="dxa"/>
            <w:vAlign w:val="bottom"/>
            <w:tcBorders>
              <w:bottom w:val="single" w:sz="8" w:color="2B4C9B"/>
            </w:tcBorders>
          </w:tcPr>
          <w:p>
            <w:pPr>
              <w:jc w:val="right"/>
              <w:ind w:right="244"/>
              <w:spacing w:after="0"/>
              <w:rPr>
                <w:sz w:val="20"/>
                <w:szCs w:val="20"/>
                <w:color w:val="auto"/>
              </w:rPr>
            </w:pPr>
            <w:r>
              <w:rPr>
                <w:rFonts w:ascii="Arial" w:cs="Arial" w:eastAsia="Arial" w:hAnsi="Arial"/>
                <w:sz w:val="14"/>
                <w:szCs w:val="14"/>
                <w:b w:val="1"/>
                <w:bCs w:val="1"/>
                <w:color w:val="2B4C9B"/>
              </w:rPr>
              <w:t>Shares</w:t>
            </w:r>
          </w:p>
        </w:tc>
        <w:tc>
          <w:tcPr>
            <w:tcW w:w="1420" w:type="dxa"/>
            <w:vAlign w:val="bottom"/>
            <w:tcBorders>
              <w:bottom w:val="single" w:sz="8" w:color="2B4C9B"/>
            </w:tcBorders>
            <w:gridSpan w:val="3"/>
          </w:tcPr>
          <w:p>
            <w:pPr>
              <w:jc w:val="right"/>
              <w:ind w:right="600"/>
              <w:spacing w:after="0"/>
              <w:rPr>
                <w:sz w:val="20"/>
                <w:szCs w:val="20"/>
                <w:color w:val="auto"/>
              </w:rPr>
            </w:pPr>
            <w:r>
              <w:rPr>
                <w:rFonts w:ascii="Arial" w:cs="Arial" w:eastAsia="Arial" w:hAnsi="Arial"/>
                <w:sz w:val="14"/>
                <w:szCs w:val="14"/>
                <w:b w:val="1"/>
                <w:bCs w:val="1"/>
                <w:color w:val="2B4C9B"/>
              </w:rPr>
              <w:t>Cost Basis</w:t>
            </w:r>
          </w:p>
        </w:tc>
        <w:tc>
          <w:tcPr>
            <w:tcW w:w="1020" w:type="dxa"/>
            <w:vAlign w:val="bottom"/>
            <w:tcBorders>
              <w:bottom w:val="single" w:sz="8" w:color="2B4C9B"/>
            </w:tcBorders>
          </w:tcPr>
          <w:p>
            <w:pPr>
              <w:jc w:val="right"/>
              <w:ind w:right="244"/>
              <w:spacing w:after="0"/>
              <w:rPr>
                <w:sz w:val="20"/>
                <w:szCs w:val="20"/>
                <w:color w:val="auto"/>
              </w:rPr>
            </w:pPr>
            <w:r>
              <w:rPr>
                <w:rFonts w:ascii="Arial" w:cs="Arial" w:eastAsia="Arial" w:hAnsi="Arial"/>
                <w:sz w:val="14"/>
                <w:szCs w:val="14"/>
                <w:color w:val="auto"/>
              </w:rPr>
              <w:t>Shares</w:t>
            </w:r>
          </w:p>
        </w:tc>
        <w:tc>
          <w:tcPr>
            <w:tcW w:w="900" w:type="dxa"/>
            <w:vAlign w:val="bottom"/>
            <w:tcBorders>
              <w:bottom w:val="single" w:sz="8" w:color="2B4C9B"/>
            </w:tcBorders>
          </w:tcPr>
          <w:p>
            <w:pPr>
              <w:jc w:val="right"/>
              <w:ind w:right="19"/>
              <w:spacing w:after="0"/>
              <w:rPr>
                <w:sz w:val="20"/>
                <w:szCs w:val="20"/>
                <w:color w:val="auto"/>
              </w:rPr>
            </w:pPr>
            <w:r>
              <w:rPr>
                <w:rFonts w:ascii="Arial" w:cs="Arial" w:eastAsia="Arial" w:hAnsi="Arial"/>
                <w:sz w:val="14"/>
                <w:szCs w:val="14"/>
                <w:color w:val="auto"/>
              </w:rPr>
              <w:t>Cost Basis</w:t>
            </w:r>
          </w:p>
        </w:tc>
      </w:tr>
      <w:tr>
        <w:trPr>
          <w:trHeight w:val="250"/>
        </w:trPr>
        <w:tc>
          <w:tcPr>
            <w:tcW w:w="6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20" w:type="dxa"/>
            <w:vAlign w:val="bottom"/>
            <w:gridSpan w:val="3"/>
          </w:tcPr>
          <w:p>
            <w:pPr>
              <w:ind w:left="500"/>
              <w:spacing w:after="0"/>
              <w:rPr>
                <w:sz w:val="20"/>
                <w:szCs w:val="20"/>
                <w:color w:val="auto"/>
              </w:rPr>
            </w:pPr>
            <w:r>
              <w:rPr>
                <w:rFonts w:ascii="Arial" w:cs="Arial" w:eastAsia="Arial" w:hAnsi="Arial"/>
                <w:sz w:val="14"/>
                <w:szCs w:val="14"/>
                <w:color w:val="auto"/>
              </w:rPr>
              <w:t>(in thousands)</w:t>
            </w: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6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Science Applications International Corporation common stock</w:t>
            </w:r>
          </w:p>
        </w:tc>
        <w:tc>
          <w:tcPr>
            <w:tcW w:w="1420" w:type="dxa"/>
            <w:vAlign w:val="bottom"/>
            <w:shd w:val="clear" w:color="auto" w:fill="CFF0FC"/>
          </w:tcPr>
          <w:p>
            <w:pPr>
              <w:jc w:val="right"/>
              <w:ind w:right="244"/>
              <w:spacing w:after="0"/>
              <w:rPr>
                <w:sz w:val="20"/>
                <w:szCs w:val="20"/>
                <w:color w:val="auto"/>
              </w:rPr>
            </w:pPr>
            <w:r>
              <w:rPr>
                <w:rFonts w:ascii="Arial" w:cs="Arial" w:eastAsia="Arial" w:hAnsi="Arial"/>
                <w:sz w:val="18"/>
                <w:szCs w:val="18"/>
                <w:b w:val="1"/>
                <w:bCs w:val="1"/>
                <w:color w:val="2B4C9B"/>
              </w:rPr>
              <w:t>1,257</w:t>
            </w: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8"/>
                <w:szCs w:val="18"/>
                <w:b w:val="1"/>
                <w:bCs w:val="1"/>
                <w:color w:val="2B4C9B"/>
              </w:rPr>
              <w:t>$58,921</w:t>
            </w:r>
          </w:p>
        </w:tc>
        <w:tc>
          <w:tcPr>
            <w:tcW w:w="1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244"/>
              <w:spacing w:after="0"/>
              <w:rPr>
                <w:sz w:val="20"/>
                <w:szCs w:val="20"/>
                <w:color w:val="auto"/>
              </w:rPr>
            </w:pPr>
            <w:r>
              <w:rPr>
                <w:rFonts w:ascii="Arial" w:cs="Arial" w:eastAsia="Arial" w:hAnsi="Arial"/>
                <w:sz w:val="18"/>
                <w:szCs w:val="18"/>
                <w:color w:val="auto"/>
              </w:rPr>
              <w:t>1,195</w:t>
            </w: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$52,416</w:t>
            </w:r>
          </w:p>
        </w:tc>
      </w:tr>
    </w:tbl>
    <w:p>
      <w:pPr>
        <w:spacing w:after="0" w:line="200" w:lineRule="exact"/>
        <w:rPr>
          <w:sz w:val="20"/>
          <w:szCs w:val="20"/>
          <w:color w:val="auto"/>
        </w:rPr>
      </w:pPr>
    </w:p>
    <w:p>
      <w:pPr>
        <w:spacing w:after="0" w:line="209" w:lineRule="exact"/>
        <w:rPr>
          <w:sz w:val="20"/>
          <w:szCs w:val="20"/>
          <w:color w:val="auto"/>
        </w:rPr>
      </w:pPr>
    </w:p>
    <w:p>
      <w:pPr>
        <w:ind w:left="420" w:right="20"/>
        <w:spacing w:after="0" w:line="287" w:lineRule="auto"/>
        <w:rPr>
          <w:sz w:val="20"/>
          <w:szCs w:val="20"/>
          <w:color w:val="auto"/>
        </w:rPr>
      </w:pPr>
      <w:r>
        <w:rPr>
          <w:rFonts w:ascii="Arial" w:cs="Arial" w:eastAsia="Arial" w:hAnsi="Arial"/>
          <w:sz w:val="18"/>
          <w:szCs w:val="18"/>
          <w:b w:val="1"/>
          <w:bCs w:val="1"/>
          <w:i w:val="1"/>
          <w:iCs w:val="1"/>
          <w:color w:val="2B4C9B"/>
        </w:rPr>
        <w:t>Transfers from Other Plans</w:t>
      </w:r>
      <w:r>
        <w:rPr>
          <w:rFonts w:ascii="Arial" w:cs="Arial" w:eastAsia="Arial" w:hAnsi="Arial"/>
          <w:sz w:val="18"/>
          <w:szCs w:val="18"/>
          <w:color w:val="000000"/>
        </w:rPr>
        <w:t>—In connection with the merger of the MSP into the Plan, assets totaling approximately $95,191,000</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were transferred into the Plan during the year ended December 31, 2019.</w:t>
      </w:r>
    </w:p>
    <w:p>
      <w:pPr>
        <w:spacing w:after="0" w:line="172"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5 -</w:t>
      </w:r>
    </w:p>
    <w:p>
      <w:pPr>
        <w:sectPr>
          <w:pgSz w:w="11900" w:h="16838" w:orient="portrait"/>
          <w:cols w:equalWidth="0" w:num="1">
            <w:col w:w="11160"/>
          </w:cols>
          <w:pgMar w:left="40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2B4C9B"/>
        </w:rPr>
      </w:pPr>
      <w:r>
        <w:rPr>
          <w:rFonts w:ascii="Arial" w:cs="Arial" w:eastAsia="Arial" w:hAnsi="Arial"/>
          <w:sz w:val="18"/>
          <w:szCs w:val="18"/>
          <w:b w:val="1"/>
          <w:bCs w:val="1"/>
          <w:color w:val="2B4C9B"/>
        </w:rPr>
        <w:t>SIGNIFICANT ACCOUNTING POLICIES</w:t>
      </w:r>
    </w:p>
    <w:p>
      <w:pPr>
        <w:spacing w:after="0" w:line="225" w:lineRule="exact"/>
        <w:rPr>
          <w:sz w:val="20"/>
          <w:szCs w:val="20"/>
          <w:color w:val="auto"/>
        </w:rPr>
      </w:pPr>
    </w:p>
    <w:p>
      <w:pPr>
        <w:ind w:left="460"/>
        <w:spacing w:after="0" w:line="287" w:lineRule="auto"/>
        <w:rPr>
          <w:sz w:val="20"/>
          <w:szCs w:val="20"/>
          <w:color w:val="auto"/>
        </w:rPr>
      </w:pPr>
      <w:r>
        <w:rPr>
          <w:rFonts w:ascii="Arial" w:cs="Arial" w:eastAsia="Arial" w:hAnsi="Arial"/>
          <w:sz w:val="18"/>
          <w:szCs w:val="18"/>
          <w:b w:val="1"/>
          <w:bCs w:val="1"/>
          <w:i w:val="1"/>
          <w:iCs w:val="1"/>
          <w:color w:val="2B4C9B"/>
        </w:rPr>
        <w:t>Basis of Accounting</w:t>
      </w:r>
      <w:r>
        <w:rPr>
          <w:rFonts w:ascii="Arial" w:cs="Arial" w:eastAsia="Arial" w:hAnsi="Arial"/>
          <w:sz w:val="18"/>
          <w:szCs w:val="18"/>
          <w:color w:val="000000"/>
        </w:rPr>
        <w:t>—The Plan’s financial statements are prepared in accordance with U.S. generally accepted accounting principles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(“GAAP”).</w:t>
      </w:r>
    </w:p>
    <w:p>
      <w:pPr>
        <w:spacing w:after="0" w:line="153" w:lineRule="exact"/>
        <w:rPr>
          <w:sz w:val="20"/>
          <w:szCs w:val="20"/>
          <w:color w:val="auto"/>
        </w:rPr>
      </w:pPr>
    </w:p>
    <w:p>
      <w:pPr>
        <w:ind w:left="460" w:right="20"/>
        <w:spacing w:after="0" w:line="287" w:lineRule="auto"/>
        <w:rPr>
          <w:sz w:val="20"/>
          <w:szCs w:val="20"/>
          <w:color w:val="auto"/>
        </w:rPr>
      </w:pPr>
      <w:r>
        <w:rPr>
          <w:rFonts w:ascii="Arial" w:cs="Arial" w:eastAsia="Arial" w:hAnsi="Arial"/>
          <w:sz w:val="18"/>
          <w:szCs w:val="18"/>
          <w:b w:val="1"/>
          <w:bCs w:val="1"/>
          <w:i w:val="1"/>
          <w:iCs w:val="1"/>
          <w:color w:val="2B4C9B"/>
        </w:rPr>
        <w:t>Investment Valuation and Income Recognition</w:t>
      </w:r>
      <w:r>
        <w:rPr>
          <w:rFonts w:ascii="Arial" w:cs="Arial" w:eastAsia="Arial" w:hAnsi="Arial"/>
          <w:sz w:val="18"/>
          <w:szCs w:val="18"/>
          <w:color w:val="000000"/>
        </w:rPr>
        <w:t>—Investments held by the Plan are carried at fair value. Valuation and income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recognition policies are as follows: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Investment in Mutual Funds</w:t>
      </w:r>
      <w:r>
        <w:rPr>
          <w:rFonts w:ascii="Arial" w:cs="Arial" w:eastAsia="Arial" w:hAnsi="Arial"/>
          <w:sz w:val="18"/>
          <w:szCs w:val="18"/>
          <w:color w:val="auto"/>
        </w:rPr>
        <w:t>—The Plan’s investments in mutual funds are stated at fair value based on quoted market prices.</w:t>
      </w:r>
    </w:p>
    <w:p>
      <w:pPr>
        <w:spacing w:after="0" w:line="225" w:lineRule="exact"/>
        <w:rPr>
          <w:sz w:val="20"/>
          <w:szCs w:val="20"/>
          <w:color w:val="auto"/>
        </w:rPr>
      </w:pPr>
    </w:p>
    <w:p>
      <w:pPr>
        <w:jc w:val="both"/>
        <w:ind w:left="880" w:right="20"/>
        <w:spacing w:after="0" w:line="282" w:lineRule="auto"/>
        <w:rPr>
          <w:sz w:val="20"/>
          <w:szCs w:val="20"/>
          <w:color w:val="auto"/>
        </w:rPr>
      </w:pPr>
      <w:r>
        <w:rPr>
          <w:rFonts w:ascii="Arial" w:cs="Arial" w:eastAsia="Arial" w:hAnsi="Arial"/>
          <w:sz w:val="18"/>
          <w:szCs w:val="18"/>
          <w:i w:val="1"/>
          <w:iCs w:val="1"/>
          <w:color w:val="auto"/>
        </w:rPr>
        <w:t>Investment in Common Collective Trusts</w:t>
      </w:r>
      <w:r>
        <w:rPr>
          <w:rFonts w:ascii="Arial" w:cs="Arial" w:eastAsia="Arial" w:hAnsi="Arial"/>
          <w:sz w:val="18"/>
          <w:szCs w:val="18"/>
          <w:color w:val="auto"/>
        </w:rPr>
        <w:t>—The Plan's investments in common collective trusts are carried at net asset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(“NAV”) per unit, which is determined by the trustee using the fair value of the underlying investments.</w:t>
      </w:r>
    </w:p>
    <w:p>
      <w:pPr>
        <w:spacing w:after="0" w:line="162" w:lineRule="exact"/>
        <w:rPr>
          <w:sz w:val="20"/>
          <w:szCs w:val="20"/>
          <w:color w:val="auto"/>
        </w:rPr>
      </w:pPr>
    </w:p>
    <w:p>
      <w:pPr>
        <w:jc w:val="both"/>
        <w:ind w:left="880"/>
        <w:spacing w:after="0" w:line="266" w:lineRule="auto"/>
        <w:rPr>
          <w:sz w:val="20"/>
          <w:szCs w:val="20"/>
          <w:color w:val="auto"/>
        </w:rPr>
      </w:pPr>
      <w:r>
        <w:rPr>
          <w:rFonts w:ascii="Arial" w:cs="Arial" w:eastAsia="Arial" w:hAnsi="Arial"/>
          <w:sz w:val="18"/>
          <w:szCs w:val="18"/>
          <w:i w:val="1"/>
          <w:iCs w:val="1"/>
          <w:color w:val="auto"/>
        </w:rPr>
        <w:t>Investment in Common Stock</w:t>
      </w:r>
      <w:r>
        <w:rPr>
          <w:rFonts w:ascii="Arial" w:cs="Arial" w:eastAsia="Arial" w:hAnsi="Arial"/>
          <w:sz w:val="18"/>
          <w:szCs w:val="18"/>
          <w:color w:val="auto"/>
        </w:rPr>
        <w:t>—Investments in shares of Science Applications International Corporation common stock,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 on the New York Stock Exchange, are recorded at their last quoted market price on the last business day of the respective plan year.</w:t>
      </w:r>
    </w:p>
    <w:p>
      <w:pPr>
        <w:spacing w:after="0" w:line="176" w:lineRule="exact"/>
        <w:rPr>
          <w:sz w:val="20"/>
          <w:szCs w:val="20"/>
          <w:color w:val="auto"/>
        </w:rPr>
      </w:pPr>
    </w:p>
    <w:p>
      <w:pPr>
        <w:jc w:val="both"/>
        <w:ind w:left="880"/>
        <w:spacing w:after="0" w:line="282" w:lineRule="auto"/>
        <w:rPr>
          <w:sz w:val="20"/>
          <w:szCs w:val="20"/>
          <w:color w:val="auto"/>
        </w:rPr>
      </w:pPr>
      <w:r>
        <w:rPr>
          <w:rFonts w:ascii="Arial" w:cs="Arial" w:eastAsia="Arial" w:hAnsi="Arial"/>
          <w:sz w:val="18"/>
          <w:szCs w:val="18"/>
          <w:i w:val="1"/>
          <w:iCs w:val="1"/>
          <w:color w:val="auto"/>
        </w:rPr>
        <w:t>Self-Directed Brokerage Fund</w:t>
      </w:r>
      <w:r>
        <w:rPr>
          <w:rFonts w:ascii="Arial" w:cs="Arial" w:eastAsia="Arial" w:hAnsi="Arial"/>
          <w:sz w:val="18"/>
          <w:szCs w:val="18"/>
          <w:color w:val="auto"/>
        </w:rPr>
        <w:t>—The Plan’s investments in the self-directed brokerage fund are stated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prices.</w:t>
      </w:r>
    </w:p>
    <w:p>
      <w:pPr>
        <w:spacing w:after="0" w:line="162" w:lineRule="exact"/>
        <w:rPr>
          <w:sz w:val="20"/>
          <w:szCs w:val="20"/>
          <w:color w:val="auto"/>
        </w:rPr>
      </w:pPr>
    </w:p>
    <w:p>
      <w:pPr>
        <w:jc w:val="both"/>
        <w:ind w:left="880"/>
        <w:spacing w:after="0" w:line="258" w:lineRule="auto"/>
        <w:rPr>
          <w:sz w:val="20"/>
          <w:szCs w:val="20"/>
          <w:color w:val="auto"/>
        </w:rPr>
      </w:pPr>
      <w:r>
        <w:rPr>
          <w:rFonts w:ascii="Arial" w:cs="Arial" w:eastAsia="Arial" w:hAnsi="Arial"/>
          <w:sz w:val="18"/>
          <w:szCs w:val="18"/>
          <w:i w:val="1"/>
          <w:iCs w:val="1"/>
          <w:color w:val="auto"/>
        </w:rPr>
        <w:t>Investment Gains and Losses</w:t>
      </w:r>
      <w:r>
        <w:rPr>
          <w:rFonts w:ascii="Arial" w:cs="Arial" w:eastAsia="Arial" w:hAnsi="Arial"/>
          <w:sz w:val="18"/>
          <w:szCs w:val="18"/>
          <w:color w:val="auto"/>
        </w:rPr>
        <w:t>—Realized gains and losses on sales of investments are calculated as the difference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investments upon sale and the fair value of the investments at purchase. Unrealized appreciation or depreciation is calculated as the difference between the fair value of the investments at the end of the year and the fair value of the investments at the beginning of the year or on the date of purchase if purchased during the year. Interest income is recorded as earned, and dividends are recorded on the ex-dividend date.</w:t>
      </w:r>
    </w:p>
    <w:p>
      <w:pPr>
        <w:spacing w:after="0" w:line="179"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Investment Risks and Uncertainties</w:t>
      </w:r>
      <w:r>
        <w:rPr>
          <w:rFonts w:ascii="Arial" w:cs="Arial" w:eastAsia="Arial" w:hAnsi="Arial"/>
          <w:sz w:val="18"/>
          <w:szCs w:val="18"/>
          <w:color w:val="000000"/>
        </w:rPr>
        <w:t>—The Plan invests in various investment securities which, in general, are exposed to various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risks, such as interest rate risk, credit risk, and overall market volatility. Due to the level of risk associated with investment securities, it is reasonably possible that changes in the values of certain investment securities will occur in the near term and such changes could materially affect the amounts reported in the statement of net assets available for benefits and statement of changes in net assets available for benefits.</w:t>
      </w:r>
    </w:p>
    <w:p>
      <w:pPr>
        <w:spacing w:after="0" w:line="179"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b w:val="1"/>
          <w:bCs w:val="1"/>
          <w:i w:val="1"/>
          <w:iCs w:val="1"/>
          <w:color w:val="2B4C9B"/>
        </w:rPr>
        <w:t>Notes Receivable from Participants</w:t>
      </w:r>
      <w:r>
        <w:rPr>
          <w:rFonts w:ascii="Arial" w:cs="Arial" w:eastAsia="Arial" w:hAnsi="Arial"/>
          <w:sz w:val="18"/>
          <w:szCs w:val="18"/>
          <w:color w:val="000000"/>
        </w:rPr>
        <w:t>—Notes receivable from participants are carried at the aggregate unpaid principal balance, plus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accrued, unpaid interest of loans outstanding.</w:t>
      </w:r>
    </w:p>
    <w:p>
      <w:pPr>
        <w:spacing w:after="0" w:line="153" w:lineRule="exact"/>
        <w:rPr>
          <w:sz w:val="20"/>
          <w:szCs w:val="20"/>
          <w:color w:val="auto"/>
        </w:rPr>
      </w:pPr>
    </w:p>
    <w:p>
      <w:pPr>
        <w:jc w:val="both"/>
        <w:ind w:left="460" w:right="20"/>
        <w:spacing w:after="0" w:line="287" w:lineRule="auto"/>
        <w:rPr>
          <w:sz w:val="20"/>
          <w:szCs w:val="20"/>
          <w:color w:val="auto"/>
        </w:rPr>
      </w:pPr>
      <w:r>
        <w:rPr>
          <w:rFonts w:ascii="Arial" w:cs="Arial" w:eastAsia="Arial" w:hAnsi="Arial"/>
          <w:sz w:val="18"/>
          <w:szCs w:val="18"/>
          <w:b w:val="1"/>
          <w:bCs w:val="1"/>
          <w:i w:val="1"/>
          <w:iCs w:val="1"/>
          <w:color w:val="2B4C9B"/>
        </w:rPr>
        <w:t>Benefits Payable</w:t>
      </w:r>
      <w:r>
        <w:rPr>
          <w:rFonts w:ascii="Arial" w:cs="Arial" w:eastAsia="Arial" w:hAnsi="Arial"/>
          <w:sz w:val="18"/>
          <w:szCs w:val="18"/>
          <w:color w:val="000000"/>
        </w:rPr>
        <w:t>—Benefit payments to participants are recorded upon distribution. There were no benefits payable to participants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who had elected to withdraw from the Plan but had not yet been paid as of December 31, 2019 and 2018.</w:t>
      </w:r>
    </w:p>
    <w:p>
      <w:pPr>
        <w:spacing w:after="0" w:line="153"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i w:val="1"/>
          <w:iCs w:val="1"/>
          <w:color w:val="2B4C9B"/>
        </w:rPr>
        <w:t>Use of Estimates</w:t>
      </w:r>
      <w:r>
        <w:rPr>
          <w:rFonts w:ascii="Arial" w:cs="Arial" w:eastAsia="Arial" w:hAnsi="Arial"/>
          <w:sz w:val="18"/>
          <w:szCs w:val="18"/>
          <w:color w:val="000000"/>
        </w:rPr>
        <w:t>—The preparation of financial statements in conformity with GAAP requires management to make estimates and</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assumptions that affect the reported amounts of assets and liabilities and disclosures of contingent assets and liabilities at the date of the financial statements, and the reported amounts of additions and deductions during the reporting periods. Actual results may differ from those estimates.</w:t>
      </w:r>
    </w:p>
    <w:p>
      <w:pPr>
        <w:spacing w:after="0" w:line="176"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b w:val="1"/>
          <w:bCs w:val="1"/>
          <w:i w:val="1"/>
          <w:iCs w:val="1"/>
          <w:color w:val="2B4C9B"/>
        </w:rPr>
        <w:t>Administrative Expenses</w:t>
      </w:r>
      <w:r>
        <w:rPr>
          <w:rFonts w:ascii="Arial" w:cs="Arial" w:eastAsia="Arial" w:hAnsi="Arial"/>
          <w:sz w:val="18"/>
          <w:szCs w:val="18"/>
          <w:color w:val="000000"/>
        </w:rPr>
        <w:t>—Administrative expenses of the Plan are paid by the Plan sponsor or Plan participants as provided in the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6 -</w:t>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2B4C9B"/>
        </w:rPr>
      </w:pPr>
      <w:r>
        <w:rPr>
          <w:rFonts w:ascii="Arial" w:cs="Arial" w:eastAsia="Arial" w:hAnsi="Arial"/>
          <w:sz w:val="18"/>
          <w:szCs w:val="18"/>
          <w:b w:val="1"/>
          <w:bCs w:val="1"/>
          <w:color w:val="2B4C9B"/>
        </w:rPr>
        <w:t>FAIR VALUE MEASUREMENTS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010202"/>
        </w:rPr>
        <w:t>Accounting guidance has been issued that establishes a framework for measuring fair value. That framework provides a fair value hierarchy that prioritizes the inputs to valuation techniques used to measure fair value. The three levels of the fair value hierarchy are described below:</w:t>
      </w:r>
    </w:p>
    <w:p>
      <w:pPr>
        <w:spacing w:after="0" w:line="15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for identical assets or liabilities in active markets that the Plan has the ability to access.</w:t>
      </w:r>
    </w:p>
    <w:p>
      <w:pPr>
        <w:spacing w:after="0" w:line="185" w:lineRule="exact"/>
        <w:rPr>
          <w:sz w:val="20"/>
          <w:szCs w:val="20"/>
          <w:color w:val="auto"/>
        </w:rPr>
      </w:pPr>
    </w:p>
    <w:p>
      <w:pPr>
        <w:jc w:val="both"/>
        <w:ind w:left="1520" w:hanging="1066"/>
        <w:spacing w:after="0" w:line="253"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to the valuation methodology include: quoted prices for similar assets or liabilities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16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Inputs to the valuation methodology are unobservable and significant to the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Plan’s investments at fair value and by level, as applicable, as of December 31, 2019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1460" w:type="dxa"/>
            <w:vAlign w:val="bottom"/>
            <w:tcBorders>
              <w:bottom w:val="single" w:sz="8" w:color="2B4C9B"/>
            </w:tcBorders>
            <w:gridSpan w:val="2"/>
          </w:tcPr>
          <w:p>
            <w:pPr>
              <w:jc w:val="right"/>
              <w:ind w:right="108"/>
              <w:spacing w:after="0"/>
              <w:rPr>
                <w:sz w:val="20"/>
                <w:szCs w:val="20"/>
                <w:color w:val="auto"/>
              </w:rPr>
            </w:pPr>
            <w:r>
              <w:rPr>
                <w:rFonts w:ascii="Arial" w:cs="Arial" w:eastAsia="Arial" w:hAnsi="Arial"/>
                <w:sz w:val="14"/>
                <w:szCs w:val="14"/>
                <w:color w:val="auto"/>
              </w:rPr>
              <w:t>Level 1</w:t>
            </w:r>
          </w:p>
        </w:tc>
        <w:tc>
          <w:tcPr>
            <w:tcW w:w="920" w:type="dxa"/>
            <w:vAlign w:val="bottom"/>
            <w:tcBorders>
              <w:bottom w:val="single" w:sz="8" w:color="2B4C9B"/>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2B4C9B"/>
            </w:tcBorders>
          </w:tcPr>
          <w:p>
            <w:pPr>
              <w:spacing w:after="0"/>
              <w:rPr>
                <w:sz w:val="15"/>
                <w:szCs w:val="15"/>
                <w:color w:val="auto"/>
              </w:rPr>
            </w:pPr>
          </w:p>
        </w:tc>
        <w:tc>
          <w:tcPr>
            <w:tcW w:w="90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color w:val="auto"/>
              </w:rPr>
              <w:t>Level 2</w:t>
            </w:r>
          </w:p>
        </w:tc>
        <w:tc>
          <w:tcPr>
            <w:tcW w:w="500" w:type="dxa"/>
            <w:vAlign w:val="bottom"/>
            <w:tcBorders>
              <w:bottom w:val="single" w:sz="8" w:color="2B4C9B"/>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2B4C9B"/>
            </w:tcBorders>
          </w:tcPr>
          <w:p>
            <w:pPr>
              <w:spacing w:after="0"/>
              <w:rPr>
                <w:sz w:val="15"/>
                <w:szCs w:val="15"/>
                <w:color w:val="auto"/>
              </w:rPr>
            </w:pPr>
          </w:p>
        </w:tc>
        <w:tc>
          <w:tcPr>
            <w:tcW w:w="92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2B4C9B"/>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2B4C9B"/>
            </w:tcBorders>
          </w:tcPr>
          <w:p>
            <w:pPr>
              <w:spacing w:after="0"/>
              <w:rPr>
                <w:sz w:val="15"/>
                <w:szCs w:val="15"/>
                <w:color w:val="auto"/>
              </w:rPr>
            </w:pPr>
          </w:p>
        </w:tc>
        <w:tc>
          <w:tcPr>
            <w:tcW w:w="860" w:type="dxa"/>
            <w:vAlign w:val="bottom"/>
            <w:tcBorders>
              <w:bottom w:val="single" w:sz="8" w:color="2B4C9B"/>
            </w:tcBorders>
          </w:tcPr>
          <w:p>
            <w:pPr>
              <w:spacing w:after="0"/>
              <w:rPr>
                <w:sz w:val="15"/>
                <w:szCs w:val="15"/>
                <w:color w:val="auto"/>
              </w:rPr>
            </w:pPr>
          </w:p>
        </w:tc>
        <w:tc>
          <w:tcPr>
            <w:tcW w:w="600" w:type="dxa"/>
            <w:vAlign w:val="bottom"/>
            <w:tcBorders>
              <w:bottom w:val="single" w:sz="8" w:color="2B4C9B"/>
            </w:tcBorders>
          </w:tcPr>
          <w:p>
            <w:pPr>
              <w:jc w:val="right"/>
              <w:ind w:right="188"/>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2B4C9B"/>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00" w:type="dxa"/>
            <w:vAlign w:val="bottom"/>
            <w:tcBorders>
              <w:bottom w:val="single" w:sz="8" w:color="2B4C9B"/>
            </w:tcBorders>
          </w:tcPr>
          <w:p>
            <w:pPr>
              <w:spacing w:after="0"/>
              <w:rPr>
                <w:sz w:val="22"/>
                <w:szCs w:val="22"/>
                <w:color w:val="auto"/>
              </w:rPr>
            </w:pPr>
          </w:p>
        </w:tc>
        <w:tc>
          <w:tcPr>
            <w:tcW w:w="320" w:type="dxa"/>
            <w:vAlign w:val="bottom"/>
            <w:tcBorders>
              <w:bottom w:val="single" w:sz="8" w:color="2B4C9B"/>
            </w:tcBorders>
          </w:tcPr>
          <w:p>
            <w:pPr>
              <w:spacing w:after="0"/>
              <w:rPr>
                <w:sz w:val="22"/>
                <w:szCs w:val="22"/>
                <w:color w:val="auto"/>
              </w:rPr>
            </w:pPr>
          </w:p>
        </w:tc>
        <w:tc>
          <w:tcPr>
            <w:tcW w:w="1000" w:type="dxa"/>
            <w:vAlign w:val="bottom"/>
            <w:tcBorders>
              <w:bottom w:val="single" w:sz="8" w:color="2B4C9B"/>
            </w:tcBorders>
          </w:tcPr>
          <w:p>
            <w:pPr>
              <w:jc w:val="right"/>
              <w:ind w:right="108"/>
              <w:spacing w:after="0"/>
              <w:rPr>
                <w:sz w:val="20"/>
                <w:szCs w:val="20"/>
                <w:color w:val="auto"/>
              </w:rPr>
            </w:pPr>
            <w:r>
              <w:rPr>
                <w:rFonts w:ascii="Arial" w:cs="Arial" w:eastAsia="Arial" w:hAnsi="Arial"/>
                <w:sz w:val="14"/>
                <w:szCs w:val="14"/>
                <w:b w:val="1"/>
                <w:bCs w:val="1"/>
                <w:color w:val="2B4C9B"/>
              </w:rPr>
              <w:t>2019</w:t>
            </w:r>
          </w:p>
        </w:tc>
        <w:tc>
          <w:tcPr>
            <w:tcW w:w="460" w:type="dxa"/>
            <w:vAlign w:val="bottom"/>
            <w:tcBorders>
              <w:bottom w:val="single" w:sz="8" w:color="2B4C9B"/>
            </w:tcBorders>
          </w:tcPr>
          <w:p>
            <w:pPr>
              <w:spacing w:after="0"/>
              <w:rPr>
                <w:sz w:val="22"/>
                <w:szCs w:val="22"/>
                <w:color w:val="auto"/>
              </w:rPr>
            </w:pPr>
          </w:p>
        </w:tc>
        <w:tc>
          <w:tcPr>
            <w:tcW w:w="92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2B4C9B"/>
            </w:tcBorders>
          </w:tcPr>
          <w:p>
            <w:pPr>
              <w:spacing w:after="0"/>
              <w:rPr>
                <w:sz w:val="22"/>
                <w:szCs w:val="22"/>
                <w:color w:val="auto"/>
              </w:rPr>
            </w:pPr>
          </w:p>
        </w:tc>
        <w:tc>
          <w:tcPr>
            <w:tcW w:w="200" w:type="dxa"/>
            <w:vAlign w:val="bottom"/>
            <w:tcBorders>
              <w:bottom w:val="single" w:sz="8" w:color="2B4C9B"/>
            </w:tcBorders>
          </w:tcPr>
          <w:p>
            <w:pPr>
              <w:spacing w:after="0"/>
              <w:rPr>
                <w:sz w:val="22"/>
                <w:szCs w:val="22"/>
                <w:color w:val="auto"/>
              </w:rPr>
            </w:pPr>
          </w:p>
        </w:tc>
        <w:tc>
          <w:tcPr>
            <w:tcW w:w="580" w:type="dxa"/>
            <w:vAlign w:val="bottom"/>
            <w:tcBorders>
              <w:bottom w:val="single" w:sz="8" w:color="2B4C9B"/>
            </w:tcBorders>
          </w:tcPr>
          <w:p>
            <w:pPr>
              <w:jc w:val="right"/>
              <w:ind w:right="128"/>
              <w:spacing w:after="0"/>
              <w:rPr>
                <w:sz w:val="20"/>
                <w:szCs w:val="20"/>
                <w:color w:val="auto"/>
              </w:rPr>
            </w:pPr>
            <w:r>
              <w:rPr>
                <w:rFonts w:ascii="Arial" w:cs="Arial" w:eastAsia="Arial" w:hAnsi="Arial"/>
                <w:sz w:val="14"/>
                <w:szCs w:val="14"/>
                <w:b w:val="1"/>
                <w:bCs w:val="1"/>
                <w:color w:val="2B4C9B"/>
              </w:rPr>
              <w:t>2019</w:t>
            </w:r>
          </w:p>
        </w:tc>
        <w:tc>
          <w:tcPr>
            <w:tcW w:w="320" w:type="dxa"/>
            <w:vAlign w:val="bottom"/>
            <w:tcBorders>
              <w:bottom w:val="single" w:sz="8" w:color="2B4C9B"/>
            </w:tcBorders>
          </w:tcPr>
          <w:p>
            <w:pPr>
              <w:spacing w:after="0"/>
              <w:rPr>
                <w:sz w:val="22"/>
                <w:szCs w:val="22"/>
                <w:color w:val="auto"/>
              </w:rPr>
            </w:pPr>
          </w:p>
        </w:tc>
        <w:tc>
          <w:tcPr>
            <w:tcW w:w="500" w:type="dxa"/>
            <w:vAlign w:val="bottom"/>
            <w:tcBorders>
              <w:bottom w:val="single" w:sz="8" w:color="2B4C9B"/>
            </w:tcBorders>
          </w:tcPr>
          <w:p>
            <w:pPr>
              <w:jc w:val="right"/>
              <w:ind w:right="48"/>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2B4C9B"/>
            </w:tcBorders>
          </w:tcPr>
          <w:p>
            <w:pPr>
              <w:spacing w:after="0"/>
              <w:rPr>
                <w:sz w:val="22"/>
                <w:szCs w:val="22"/>
                <w:color w:val="auto"/>
              </w:rPr>
            </w:pPr>
          </w:p>
        </w:tc>
        <w:tc>
          <w:tcPr>
            <w:tcW w:w="180" w:type="dxa"/>
            <w:vAlign w:val="bottom"/>
            <w:tcBorders>
              <w:bottom w:val="single" w:sz="8" w:color="2B4C9B"/>
            </w:tcBorders>
          </w:tcPr>
          <w:p>
            <w:pPr>
              <w:spacing w:after="0"/>
              <w:rPr>
                <w:sz w:val="22"/>
                <w:szCs w:val="22"/>
                <w:color w:val="auto"/>
              </w:rPr>
            </w:pPr>
          </w:p>
        </w:tc>
        <w:tc>
          <w:tcPr>
            <w:tcW w:w="580" w:type="dxa"/>
            <w:vAlign w:val="bottom"/>
            <w:tcBorders>
              <w:bottom w:val="single" w:sz="8" w:color="2B4C9B"/>
            </w:tcBorders>
          </w:tcPr>
          <w:p>
            <w:pPr>
              <w:jc w:val="right"/>
              <w:ind w:right="108"/>
              <w:spacing w:after="0"/>
              <w:rPr>
                <w:sz w:val="20"/>
                <w:szCs w:val="20"/>
                <w:color w:val="auto"/>
              </w:rPr>
            </w:pPr>
            <w:r>
              <w:rPr>
                <w:rFonts w:ascii="Arial" w:cs="Arial" w:eastAsia="Arial" w:hAnsi="Arial"/>
                <w:sz w:val="14"/>
                <w:szCs w:val="14"/>
                <w:b w:val="1"/>
                <w:bCs w:val="1"/>
                <w:color w:val="2B4C9B"/>
              </w:rPr>
              <w:t>2019</w:t>
            </w:r>
          </w:p>
        </w:tc>
        <w:tc>
          <w:tcPr>
            <w:tcW w:w="340" w:type="dxa"/>
            <w:vAlign w:val="bottom"/>
            <w:tcBorders>
              <w:bottom w:val="single" w:sz="8" w:color="2B4C9B"/>
            </w:tcBorders>
          </w:tcPr>
          <w:p>
            <w:pPr>
              <w:spacing w:after="0"/>
              <w:rPr>
                <w:sz w:val="22"/>
                <w:szCs w:val="22"/>
                <w:color w:val="auto"/>
              </w:rPr>
            </w:pPr>
          </w:p>
        </w:tc>
        <w:tc>
          <w:tcPr>
            <w:tcW w:w="48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2B4C9B"/>
            </w:tcBorders>
          </w:tcPr>
          <w:p>
            <w:pPr>
              <w:spacing w:after="0"/>
              <w:rPr>
                <w:sz w:val="22"/>
                <w:szCs w:val="22"/>
                <w:color w:val="auto"/>
              </w:rPr>
            </w:pPr>
          </w:p>
        </w:tc>
        <w:tc>
          <w:tcPr>
            <w:tcW w:w="320" w:type="dxa"/>
            <w:vAlign w:val="bottom"/>
            <w:tcBorders>
              <w:bottom w:val="single" w:sz="8" w:color="2B4C9B"/>
            </w:tcBorders>
          </w:tcPr>
          <w:p>
            <w:pPr>
              <w:spacing w:after="0"/>
              <w:rPr>
                <w:sz w:val="22"/>
                <w:szCs w:val="22"/>
                <w:color w:val="auto"/>
              </w:rPr>
            </w:pPr>
          </w:p>
        </w:tc>
        <w:tc>
          <w:tcPr>
            <w:tcW w:w="86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2019</w:t>
            </w:r>
          </w:p>
        </w:tc>
        <w:tc>
          <w:tcPr>
            <w:tcW w:w="600" w:type="dxa"/>
            <w:vAlign w:val="bottom"/>
            <w:tcBorders>
              <w:bottom w:val="single" w:sz="8" w:color="2B4C9B"/>
            </w:tcBorders>
          </w:tcPr>
          <w:p>
            <w:pPr>
              <w:spacing w:after="0"/>
              <w:rPr>
                <w:sz w:val="22"/>
                <w:szCs w:val="22"/>
                <w:color w:val="auto"/>
              </w:rPr>
            </w:pPr>
          </w:p>
        </w:tc>
        <w:tc>
          <w:tcPr>
            <w:tcW w:w="92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63"/>
        </w:trPr>
        <w:tc>
          <w:tcPr>
            <w:tcW w:w="2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gridSpan w:val="4"/>
          </w:tcPr>
          <w:p>
            <w:pPr>
              <w:jc w:val="right"/>
              <w:ind w:right="328"/>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000" w:type="dxa"/>
            <w:vAlign w:val="bottom"/>
            <w:shd w:val="clear" w:color="auto" w:fill="CFF0FC"/>
          </w:tcPr>
          <w:p>
            <w:pPr>
              <w:ind w:left="40"/>
              <w:spacing w:after="0"/>
              <w:rPr>
                <w:sz w:val="20"/>
                <w:szCs w:val="20"/>
                <w:color w:val="auto"/>
              </w:rPr>
            </w:pPr>
            <w:r>
              <w:rPr>
                <w:rFonts w:ascii="Arial" w:cs="Arial" w:eastAsia="Arial" w:hAnsi="Arial"/>
                <w:sz w:val="14"/>
                <w:szCs w:val="14"/>
                <w:color w:val="auto"/>
              </w:rPr>
              <w:t>Mutual funds</w:t>
            </w:r>
          </w:p>
        </w:tc>
        <w:tc>
          <w:tcPr>
            <w:tcW w:w="32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2B4C9B"/>
              </w:rPr>
              <w:t>$</w:t>
            </w:r>
          </w:p>
        </w:tc>
        <w:tc>
          <w:tcPr>
            <w:tcW w:w="100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2B4C9B"/>
              </w:rPr>
              <w:t>956,574</w:t>
            </w:r>
          </w:p>
        </w:tc>
        <w:tc>
          <w:tcPr>
            <w:tcW w:w="4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1,310,739</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2B4C9B"/>
              </w:rPr>
              <w:t>$</w:t>
            </w:r>
          </w:p>
        </w:tc>
        <w:tc>
          <w:tcPr>
            <w:tcW w:w="5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2B4C9B"/>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2B4C9B"/>
              </w:rPr>
              <w:t>$</w:t>
            </w: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2B4C9B"/>
              </w:rPr>
              <w:t>—</w:t>
            </w:r>
          </w:p>
        </w:tc>
        <w:tc>
          <w:tcPr>
            <w:tcW w:w="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2B4C9B"/>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2B4C9B"/>
              </w:rPr>
              <w:t>956,574</w:t>
            </w:r>
          </w:p>
        </w:tc>
        <w:tc>
          <w:tcPr>
            <w:tcW w:w="6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1,310,739</w:t>
            </w:r>
          </w:p>
        </w:tc>
        <w:tc>
          <w:tcPr>
            <w:tcW w:w="0" w:type="dxa"/>
            <w:vAlign w:val="bottom"/>
          </w:tcPr>
          <w:p>
            <w:pPr>
              <w:spacing w:after="0"/>
              <w:rPr>
                <w:sz w:val="1"/>
                <w:szCs w:val="1"/>
                <w:color w:val="auto"/>
              </w:rPr>
            </w:pPr>
          </w:p>
        </w:tc>
      </w:tr>
      <w:tr>
        <w:trPr>
          <w:trHeight w:val="278"/>
        </w:trPr>
        <w:tc>
          <w:tcPr>
            <w:tcW w:w="2000" w:type="dxa"/>
            <w:vAlign w:val="bottom"/>
          </w:tcPr>
          <w:p>
            <w:pPr>
              <w:ind w:left="40"/>
              <w:spacing w:after="0"/>
              <w:rPr>
                <w:sz w:val="20"/>
                <w:szCs w:val="20"/>
                <w:color w:val="auto"/>
              </w:rPr>
            </w:pPr>
            <w:r>
              <w:rPr>
                <w:rFonts w:ascii="Arial" w:cs="Arial" w:eastAsia="Arial" w:hAnsi="Arial"/>
                <w:sz w:val="14"/>
                <w:szCs w:val="14"/>
                <w:color w:val="auto"/>
              </w:rPr>
              <w:t>Common stock</w:t>
            </w:r>
          </w:p>
        </w:tc>
        <w:tc>
          <w:tcPr>
            <w:tcW w:w="32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2B4C9B"/>
              </w:rPr>
              <w:t>112,573</w:t>
            </w:r>
          </w:p>
        </w:tc>
        <w:tc>
          <w:tcPr>
            <w:tcW w:w="46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76,041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2B4C9B"/>
              </w:rPr>
              <w:t>—</w:t>
            </w:r>
          </w:p>
        </w:tc>
        <w:tc>
          <w:tcPr>
            <w:tcW w:w="320" w:type="dxa"/>
            <w:vAlign w:val="bottom"/>
          </w:tcPr>
          <w:p>
            <w:pPr>
              <w:spacing w:after="0"/>
              <w:rPr>
                <w:sz w:val="24"/>
                <w:szCs w:val="2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2B4C9B"/>
              </w:rPr>
              <w:t>—</w:t>
            </w:r>
          </w:p>
        </w:tc>
        <w:tc>
          <w:tcPr>
            <w:tcW w:w="34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2B4C9B"/>
              </w:rPr>
              <w:t>112,573</w:t>
            </w:r>
          </w:p>
        </w:tc>
        <w:tc>
          <w:tcPr>
            <w:tcW w:w="6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76,041</w:t>
            </w:r>
          </w:p>
        </w:tc>
        <w:tc>
          <w:tcPr>
            <w:tcW w:w="0" w:type="dxa"/>
            <w:vAlign w:val="bottom"/>
          </w:tcPr>
          <w:p>
            <w:pPr>
              <w:spacing w:after="0"/>
              <w:rPr>
                <w:sz w:val="1"/>
                <w:szCs w:val="1"/>
                <w:color w:val="auto"/>
              </w:rPr>
            </w:pPr>
          </w:p>
        </w:tc>
      </w:tr>
      <w:tr>
        <w:trPr>
          <w:trHeight w:val="200"/>
        </w:trPr>
        <w:tc>
          <w:tcPr>
            <w:tcW w:w="2000" w:type="dxa"/>
            <w:vAlign w:val="bottom"/>
            <w:shd w:val="clear" w:color="auto" w:fill="CFF0FC"/>
          </w:tcPr>
          <w:p>
            <w:pPr>
              <w:ind w:left="40"/>
              <w:spacing w:after="0"/>
              <w:rPr>
                <w:sz w:val="20"/>
                <w:szCs w:val="20"/>
                <w:color w:val="auto"/>
              </w:rPr>
            </w:pPr>
            <w:r>
              <w:rPr>
                <w:rFonts w:ascii="Arial" w:cs="Arial" w:eastAsia="Arial" w:hAnsi="Arial"/>
                <w:sz w:val="14"/>
                <w:szCs w:val="14"/>
                <w:color w:val="auto"/>
              </w:rPr>
              <w:t>Self-directed brokerage</w:t>
            </w:r>
          </w:p>
        </w:tc>
        <w:tc>
          <w:tcPr>
            <w:tcW w:w="32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b w:val="1"/>
                <w:bCs w:val="1"/>
                <w:color w:val="2B4C9B"/>
              </w:rPr>
              <w:t>32,409</w:t>
            </w: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vMerge w:val="restart"/>
            <w:shd w:val="clear" w:color="auto" w:fill="CFF0FC"/>
          </w:tcPr>
          <w:p>
            <w:pPr>
              <w:jc w:val="right"/>
              <w:ind w:right="128"/>
              <w:spacing w:after="0"/>
              <w:rPr>
                <w:sz w:val="20"/>
                <w:szCs w:val="20"/>
                <w:color w:val="auto"/>
              </w:rPr>
            </w:pPr>
            <w:r>
              <w:rPr>
                <w:rFonts w:ascii="Arial" w:cs="Arial" w:eastAsia="Arial" w:hAnsi="Arial"/>
                <w:sz w:val="14"/>
                <w:szCs w:val="14"/>
                <w:b w:val="1"/>
                <w:bCs w:val="1"/>
                <w:color w:val="2B4C9B"/>
              </w:rPr>
              <w:t>—</w:t>
            </w:r>
          </w:p>
        </w:tc>
        <w:tc>
          <w:tcPr>
            <w:tcW w:w="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2B4C9B"/>
              </w:rPr>
              <w:t>32,409</w:t>
            </w:r>
          </w:p>
        </w:tc>
        <w:tc>
          <w:tcPr>
            <w:tcW w:w="6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00" w:type="dxa"/>
            <w:vAlign w:val="bottom"/>
            <w:tcBorders>
              <w:bottom w:val="single" w:sz="8" w:color="2B4C9B"/>
            </w:tcBorders>
            <w:shd w:val="clear" w:color="auto" w:fill="CFF0FC"/>
          </w:tcPr>
          <w:p>
            <w:pPr>
              <w:ind w:left="40"/>
              <w:spacing w:after="0"/>
              <w:rPr>
                <w:sz w:val="20"/>
                <w:szCs w:val="20"/>
                <w:color w:val="auto"/>
              </w:rPr>
            </w:pPr>
            <w:r>
              <w:rPr>
                <w:rFonts w:ascii="Arial" w:cs="Arial" w:eastAsia="Arial" w:hAnsi="Arial"/>
                <w:sz w:val="14"/>
                <w:szCs w:val="14"/>
                <w:color w:val="auto"/>
              </w:rPr>
              <w:t>fund</w:t>
            </w:r>
          </w:p>
        </w:tc>
        <w:tc>
          <w:tcPr>
            <w:tcW w:w="320" w:type="dxa"/>
            <w:vAlign w:val="bottom"/>
            <w:tcBorders>
              <w:bottom w:val="single" w:sz="8" w:color="2B4C9B"/>
            </w:tcBorders>
            <w:shd w:val="clear" w:color="auto" w:fill="CFF0FC"/>
          </w:tcPr>
          <w:p>
            <w:pPr>
              <w:spacing w:after="0"/>
              <w:rPr>
                <w:sz w:val="15"/>
                <w:szCs w:val="15"/>
                <w:color w:val="auto"/>
              </w:rPr>
            </w:pPr>
          </w:p>
        </w:tc>
        <w:tc>
          <w:tcPr>
            <w:tcW w:w="1000" w:type="dxa"/>
            <w:vAlign w:val="bottom"/>
            <w:tcBorders>
              <w:bottom w:val="single" w:sz="8" w:color="2B4C9B"/>
            </w:tcBorders>
            <w:vMerge w:val="continue"/>
            <w:shd w:val="clear" w:color="auto" w:fill="CFF0FC"/>
          </w:tcPr>
          <w:p>
            <w:pPr>
              <w:spacing w:after="0"/>
              <w:rPr>
                <w:sz w:val="15"/>
                <w:szCs w:val="15"/>
                <w:color w:val="auto"/>
              </w:rPr>
            </w:pPr>
          </w:p>
        </w:tc>
        <w:tc>
          <w:tcPr>
            <w:tcW w:w="460" w:type="dxa"/>
            <w:vAlign w:val="bottom"/>
            <w:tcBorders>
              <w:bottom w:val="single" w:sz="8" w:color="2B4C9B"/>
            </w:tcBorders>
            <w:shd w:val="clear" w:color="auto" w:fill="CFF0FC"/>
          </w:tcPr>
          <w:p>
            <w:pPr>
              <w:spacing w:after="0"/>
              <w:rPr>
                <w:sz w:val="15"/>
                <w:szCs w:val="15"/>
                <w:color w:val="auto"/>
              </w:rPr>
            </w:pPr>
          </w:p>
        </w:tc>
        <w:tc>
          <w:tcPr>
            <w:tcW w:w="1140" w:type="dxa"/>
            <w:vAlign w:val="bottom"/>
            <w:tcBorders>
              <w:bottom w:val="single" w:sz="8" w:color="2B4C9B"/>
            </w:tcBorders>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2B4C9B"/>
            </w:tcBorders>
            <w:shd w:val="clear" w:color="auto" w:fill="CFF0FC"/>
          </w:tcPr>
          <w:p>
            <w:pPr>
              <w:spacing w:after="0"/>
              <w:rPr>
                <w:sz w:val="15"/>
                <w:szCs w:val="15"/>
                <w:color w:val="auto"/>
              </w:rPr>
            </w:pPr>
          </w:p>
        </w:tc>
        <w:tc>
          <w:tcPr>
            <w:tcW w:w="580" w:type="dxa"/>
            <w:vAlign w:val="bottom"/>
            <w:tcBorders>
              <w:bottom w:val="single" w:sz="8" w:color="2B4C9B"/>
            </w:tcBorders>
            <w:vMerge w:val="continue"/>
            <w:shd w:val="clear" w:color="auto" w:fill="CFF0FC"/>
          </w:tcPr>
          <w:p>
            <w:pPr>
              <w:spacing w:after="0"/>
              <w:rPr>
                <w:sz w:val="15"/>
                <w:szCs w:val="15"/>
                <w:color w:val="auto"/>
              </w:rPr>
            </w:pPr>
          </w:p>
        </w:tc>
        <w:tc>
          <w:tcPr>
            <w:tcW w:w="320" w:type="dxa"/>
            <w:vAlign w:val="bottom"/>
            <w:tcBorders>
              <w:bottom w:val="single" w:sz="8" w:color="2B4C9B"/>
            </w:tcBorders>
            <w:shd w:val="clear" w:color="auto" w:fill="CFF0FC"/>
          </w:tcPr>
          <w:p>
            <w:pPr>
              <w:spacing w:after="0"/>
              <w:rPr>
                <w:sz w:val="15"/>
                <w:szCs w:val="15"/>
                <w:color w:val="auto"/>
              </w:rPr>
            </w:pPr>
          </w:p>
        </w:tc>
        <w:tc>
          <w:tcPr>
            <w:tcW w:w="720" w:type="dxa"/>
            <w:vAlign w:val="bottom"/>
            <w:tcBorders>
              <w:bottom w:val="single" w:sz="8" w:color="2B4C9B"/>
            </w:tcBorders>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2B4C9B"/>
            </w:tcBorders>
            <w:shd w:val="clear" w:color="auto" w:fill="CFF0FC"/>
          </w:tcPr>
          <w:p>
            <w:pPr>
              <w:spacing w:after="0"/>
              <w:rPr>
                <w:sz w:val="15"/>
                <w:szCs w:val="15"/>
                <w:color w:val="auto"/>
              </w:rPr>
            </w:pPr>
          </w:p>
        </w:tc>
        <w:tc>
          <w:tcPr>
            <w:tcW w:w="580" w:type="dxa"/>
            <w:vAlign w:val="bottom"/>
            <w:tcBorders>
              <w:bottom w:val="single" w:sz="8" w:color="2B4C9B"/>
            </w:tcBorders>
            <w:shd w:val="clear" w:color="auto" w:fill="CFF0FC"/>
          </w:tcPr>
          <w:p>
            <w:pPr>
              <w:jc w:val="right"/>
              <w:ind w:right="108"/>
              <w:spacing w:after="0"/>
              <w:rPr>
                <w:sz w:val="20"/>
                <w:szCs w:val="20"/>
                <w:color w:val="auto"/>
              </w:rPr>
            </w:pPr>
            <w:r>
              <w:rPr>
                <w:rFonts w:ascii="Arial" w:cs="Arial" w:eastAsia="Arial" w:hAnsi="Arial"/>
                <w:sz w:val="14"/>
                <w:szCs w:val="14"/>
                <w:color w:val="2B4C9B"/>
              </w:rPr>
              <w:t>—</w:t>
            </w:r>
          </w:p>
        </w:tc>
        <w:tc>
          <w:tcPr>
            <w:tcW w:w="340" w:type="dxa"/>
            <w:vAlign w:val="bottom"/>
            <w:tcBorders>
              <w:bottom w:val="single" w:sz="8" w:color="2B4C9B"/>
            </w:tcBorders>
            <w:shd w:val="clear" w:color="auto" w:fill="CFF0FC"/>
          </w:tcPr>
          <w:p>
            <w:pPr>
              <w:spacing w:after="0"/>
              <w:rPr>
                <w:sz w:val="15"/>
                <w:szCs w:val="15"/>
                <w:color w:val="auto"/>
              </w:rPr>
            </w:pPr>
          </w:p>
        </w:tc>
        <w:tc>
          <w:tcPr>
            <w:tcW w:w="700" w:type="dxa"/>
            <w:vAlign w:val="bottom"/>
            <w:tcBorders>
              <w:bottom w:val="single" w:sz="8" w:color="2B4C9B"/>
            </w:tcBorders>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2B4C9B"/>
            </w:tcBorders>
            <w:shd w:val="clear" w:color="auto" w:fill="CFF0FC"/>
          </w:tcPr>
          <w:p>
            <w:pPr>
              <w:spacing w:after="0"/>
              <w:rPr>
                <w:sz w:val="15"/>
                <w:szCs w:val="15"/>
                <w:color w:val="auto"/>
              </w:rPr>
            </w:pPr>
          </w:p>
        </w:tc>
        <w:tc>
          <w:tcPr>
            <w:tcW w:w="860" w:type="dxa"/>
            <w:vAlign w:val="bottom"/>
            <w:tcBorders>
              <w:bottom w:val="single" w:sz="8" w:color="2B4C9B"/>
            </w:tcBorders>
            <w:vMerge w:val="continue"/>
            <w:shd w:val="clear" w:color="auto" w:fill="CFF0FC"/>
          </w:tcPr>
          <w:p>
            <w:pPr>
              <w:spacing w:after="0"/>
              <w:rPr>
                <w:sz w:val="15"/>
                <w:szCs w:val="15"/>
                <w:color w:val="auto"/>
              </w:rPr>
            </w:pPr>
          </w:p>
        </w:tc>
        <w:tc>
          <w:tcPr>
            <w:tcW w:w="600" w:type="dxa"/>
            <w:vAlign w:val="bottom"/>
            <w:tcBorders>
              <w:bottom w:val="single" w:sz="8" w:color="2B4C9B"/>
            </w:tcBorders>
            <w:shd w:val="clear" w:color="auto" w:fill="CFF0FC"/>
          </w:tcPr>
          <w:p>
            <w:pPr>
              <w:spacing w:after="0"/>
              <w:rPr>
                <w:sz w:val="15"/>
                <w:szCs w:val="15"/>
                <w:color w:val="auto"/>
              </w:rPr>
            </w:pPr>
          </w:p>
        </w:tc>
        <w:tc>
          <w:tcPr>
            <w:tcW w:w="920" w:type="dxa"/>
            <w:vAlign w:val="bottom"/>
            <w:tcBorders>
              <w:bottom w:val="single" w:sz="8" w:color="2B4C9B"/>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2000" w:type="dxa"/>
            <w:vAlign w:val="bottom"/>
            <w:tcBorders>
              <w:bottom w:val="single" w:sz="8" w:color="2B4C9B"/>
            </w:tcBorders>
          </w:tcPr>
          <w:p>
            <w:pPr>
              <w:ind w:left="40"/>
              <w:spacing w:after="0"/>
              <w:rPr>
                <w:sz w:val="20"/>
                <w:szCs w:val="20"/>
                <w:color w:val="auto"/>
              </w:rPr>
            </w:pPr>
            <w:r>
              <w:rPr>
                <w:rFonts w:ascii="Arial" w:cs="Arial" w:eastAsia="Arial" w:hAnsi="Arial"/>
                <w:sz w:val="14"/>
                <w:szCs w:val="14"/>
                <w:color w:val="auto"/>
              </w:rPr>
              <w:t>Subtotal</w:t>
            </w:r>
          </w:p>
        </w:tc>
        <w:tc>
          <w:tcPr>
            <w:tcW w:w="320" w:type="dxa"/>
            <w:vAlign w:val="bottom"/>
            <w:tcBorders>
              <w:bottom w:val="single" w:sz="8" w:color="2B4C9B"/>
            </w:tcBorders>
          </w:tcPr>
          <w:p>
            <w:pPr>
              <w:jc w:val="right"/>
              <w:ind w:right="108"/>
              <w:spacing w:after="0"/>
              <w:rPr>
                <w:sz w:val="20"/>
                <w:szCs w:val="20"/>
                <w:color w:val="auto"/>
              </w:rPr>
            </w:pPr>
            <w:r>
              <w:rPr>
                <w:rFonts w:ascii="Arial" w:cs="Arial" w:eastAsia="Arial" w:hAnsi="Arial"/>
                <w:sz w:val="14"/>
                <w:szCs w:val="14"/>
                <w:b w:val="1"/>
                <w:bCs w:val="1"/>
                <w:color w:val="2B4C9B"/>
              </w:rPr>
              <w:t>$</w:t>
            </w:r>
          </w:p>
        </w:tc>
        <w:tc>
          <w:tcPr>
            <w:tcW w:w="1000" w:type="dxa"/>
            <w:vAlign w:val="bottom"/>
            <w:tcBorders>
              <w:bottom w:val="single" w:sz="8" w:color="2B4C9B"/>
            </w:tcBorders>
          </w:tcPr>
          <w:p>
            <w:pPr>
              <w:jc w:val="right"/>
              <w:ind w:right="108"/>
              <w:spacing w:after="0"/>
              <w:rPr>
                <w:sz w:val="20"/>
                <w:szCs w:val="20"/>
                <w:color w:val="auto"/>
              </w:rPr>
            </w:pPr>
            <w:r>
              <w:rPr>
                <w:rFonts w:ascii="Arial" w:cs="Arial" w:eastAsia="Arial" w:hAnsi="Arial"/>
                <w:sz w:val="14"/>
                <w:szCs w:val="14"/>
                <w:b w:val="1"/>
                <w:bCs w:val="1"/>
                <w:color w:val="2B4C9B"/>
              </w:rPr>
              <w:t>1,101,556</w:t>
            </w:r>
          </w:p>
        </w:tc>
        <w:tc>
          <w:tcPr>
            <w:tcW w:w="460" w:type="dxa"/>
            <w:vAlign w:val="bottom"/>
            <w:tcBorders>
              <w:bottom w:val="single" w:sz="8" w:color="2B4C9B"/>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color w:val="auto"/>
              </w:rPr>
              <w:t>1,386,780</w:t>
            </w:r>
          </w:p>
        </w:tc>
        <w:tc>
          <w:tcPr>
            <w:tcW w:w="220" w:type="dxa"/>
            <w:vAlign w:val="bottom"/>
            <w:tcBorders>
              <w:bottom w:val="single" w:sz="8" w:color="2B4C9B"/>
            </w:tcBorders>
          </w:tcPr>
          <w:p>
            <w:pPr>
              <w:spacing w:after="0"/>
              <w:rPr>
                <w:sz w:val="24"/>
                <w:szCs w:val="24"/>
                <w:color w:val="auto"/>
              </w:rPr>
            </w:pPr>
          </w:p>
        </w:tc>
        <w:tc>
          <w:tcPr>
            <w:tcW w:w="20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w:t>
            </w:r>
          </w:p>
        </w:tc>
        <w:tc>
          <w:tcPr>
            <w:tcW w:w="580" w:type="dxa"/>
            <w:vAlign w:val="bottom"/>
            <w:tcBorders>
              <w:bottom w:val="single" w:sz="8" w:color="2B4C9B"/>
            </w:tcBorders>
          </w:tcPr>
          <w:p>
            <w:pPr>
              <w:jc w:val="right"/>
              <w:ind w:right="128"/>
              <w:spacing w:after="0"/>
              <w:rPr>
                <w:sz w:val="20"/>
                <w:szCs w:val="20"/>
                <w:color w:val="auto"/>
              </w:rPr>
            </w:pPr>
            <w:r>
              <w:rPr>
                <w:rFonts w:ascii="Arial" w:cs="Arial" w:eastAsia="Arial" w:hAnsi="Arial"/>
                <w:sz w:val="14"/>
                <w:szCs w:val="14"/>
                <w:b w:val="1"/>
                <w:bCs w:val="1"/>
                <w:color w:val="2B4C9B"/>
              </w:rPr>
              <w:t>—</w:t>
            </w:r>
          </w:p>
        </w:tc>
        <w:tc>
          <w:tcPr>
            <w:tcW w:w="3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2B4C9B"/>
            </w:tcBorders>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w:t>
            </w:r>
          </w:p>
        </w:tc>
        <w:tc>
          <w:tcPr>
            <w:tcW w:w="580" w:type="dxa"/>
            <w:vAlign w:val="bottom"/>
            <w:tcBorders>
              <w:bottom w:val="single" w:sz="8" w:color="2B4C9B"/>
            </w:tcBorders>
          </w:tcPr>
          <w:p>
            <w:pPr>
              <w:jc w:val="right"/>
              <w:ind w:right="108"/>
              <w:spacing w:after="0"/>
              <w:rPr>
                <w:sz w:val="20"/>
                <w:szCs w:val="20"/>
                <w:color w:val="auto"/>
              </w:rPr>
            </w:pPr>
            <w:r>
              <w:rPr>
                <w:rFonts w:ascii="Arial" w:cs="Arial" w:eastAsia="Arial" w:hAnsi="Arial"/>
                <w:sz w:val="14"/>
                <w:szCs w:val="14"/>
                <w:b w:val="1"/>
                <w:bCs w:val="1"/>
                <w:color w:val="2B4C9B"/>
              </w:rPr>
              <w:t>—</w:t>
            </w:r>
          </w:p>
        </w:tc>
        <w:tc>
          <w:tcPr>
            <w:tcW w:w="340" w:type="dxa"/>
            <w:vAlign w:val="bottom"/>
            <w:tcBorders>
              <w:bottom w:val="single" w:sz="8" w:color="2B4C9B"/>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2B4C9B"/>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2B4C9B"/>
            </w:tcBorders>
          </w:tcPr>
          <w:p>
            <w:pPr>
              <w:jc w:val="right"/>
              <w:ind w:right="108"/>
              <w:spacing w:after="0"/>
              <w:rPr>
                <w:sz w:val="20"/>
                <w:szCs w:val="20"/>
                <w:color w:val="auto"/>
              </w:rPr>
            </w:pPr>
            <w:r>
              <w:rPr>
                <w:rFonts w:ascii="Arial" w:cs="Arial" w:eastAsia="Arial" w:hAnsi="Arial"/>
                <w:sz w:val="14"/>
                <w:szCs w:val="14"/>
                <w:b w:val="1"/>
                <w:bCs w:val="1"/>
                <w:color w:val="2B4C9B"/>
              </w:rPr>
              <w:t>$</w:t>
            </w:r>
          </w:p>
        </w:tc>
        <w:tc>
          <w:tcPr>
            <w:tcW w:w="86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1,101,556</w:t>
            </w:r>
          </w:p>
        </w:tc>
        <w:tc>
          <w:tcPr>
            <w:tcW w:w="600" w:type="dxa"/>
            <w:vAlign w:val="bottom"/>
            <w:tcBorders>
              <w:bottom w:val="single" w:sz="8" w:color="2B4C9B"/>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color w:val="auto"/>
              </w:rPr>
              <w:t>1,386,780</w:t>
            </w:r>
          </w:p>
        </w:tc>
        <w:tc>
          <w:tcPr>
            <w:tcW w:w="0" w:type="dxa"/>
            <w:vAlign w:val="bottom"/>
          </w:tcPr>
          <w:p>
            <w:pPr>
              <w:spacing w:after="0"/>
              <w:rPr>
                <w:sz w:val="1"/>
                <w:szCs w:val="1"/>
                <w:color w:val="auto"/>
              </w:rPr>
            </w:pPr>
          </w:p>
        </w:tc>
      </w:tr>
      <w:tr>
        <w:trPr>
          <w:trHeight w:val="277"/>
        </w:trPr>
        <w:tc>
          <w:tcPr>
            <w:tcW w:w="332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Common collective trusts—measured at NAV</w:t>
            </w:r>
          </w:p>
        </w:tc>
        <w:tc>
          <w:tcPr>
            <w:tcW w:w="46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320" w:type="dxa"/>
            <w:vAlign w:val="bottom"/>
            <w:tcBorders>
              <w:bottom w:val="single" w:sz="8" w:color="2B4C9B"/>
            </w:tcBorders>
            <w:shd w:val="clear" w:color="auto" w:fill="CFF0FC"/>
          </w:tcPr>
          <w:p>
            <w:pPr>
              <w:spacing w:after="0"/>
              <w:rPr>
                <w:sz w:val="24"/>
                <w:szCs w:val="24"/>
                <w:color w:val="auto"/>
              </w:rPr>
            </w:pPr>
          </w:p>
        </w:tc>
        <w:tc>
          <w:tcPr>
            <w:tcW w:w="8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b w:val="1"/>
                <w:bCs w:val="1"/>
                <w:color w:val="2B4C9B"/>
              </w:rPr>
              <w:t>1,885,958</w:t>
            </w:r>
          </w:p>
        </w:tc>
        <w:tc>
          <w:tcPr>
            <w:tcW w:w="600" w:type="dxa"/>
            <w:vAlign w:val="bottom"/>
            <w:tcBorders>
              <w:bottom w:val="single" w:sz="8" w:color="2B4C9B"/>
            </w:tcBorders>
            <w:shd w:val="clear" w:color="auto" w:fill="CFF0FC"/>
          </w:tcPr>
          <w:p>
            <w:pPr>
              <w:spacing w:after="0"/>
              <w:rPr>
                <w:sz w:val="24"/>
                <w:szCs w:val="24"/>
                <w:color w:val="auto"/>
              </w:rPr>
            </w:pPr>
          </w:p>
        </w:tc>
        <w:tc>
          <w:tcPr>
            <w:tcW w:w="920" w:type="dxa"/>
            <w:vAlign w:val="bottom"/>
            <w:tcBorders>
              <w:bottom w:val="single" w:sz="8" w:color="2B4C9B"/>
            </w:tcBorders>
            <w:shd w:val="clear" w:color="auto" w:fill="CFF0FC"/>
          </w:tcPr>
          <w:p>
            <w:pPr>
              <w:jc w:val="right"/>
              <w:ind w:right="28"/>
              <w:spacing w:after="0"/>
              <w:rPr>
                <w:sz w:val="20"/>
                <w:szCs w:val="20"/>
                <w:color w:val="auto"/>
              </w:rPr>
            </w:pPr>
            <w:r>
              <w:rPr>
                <w:rFonts w:ascii="Arial" w:cs="Arial" w:eastAsia="Arial" w:hAnsi="Arial"/>
                <w:sz w:val="14"/>
                <w:szCs w:val="14"/>
                <w:color w:val="auto"/>
              </w:rPr>
              <w:t>1,019,133</w:t>
            </w:r>
          </w:p>
        </w:tc>
        <w:tc>
          <w:tcPr>
            <w:tcW w:w="0" w:type="dxa"/>
            <w:vAlign w:val="bottom"/>
          </w:tcPr>
          <w:p>
            <w:pPr>
              <w:spacing w:after="0"/>
              <w:rPr>
                <w:sz w:val="1"/>
                <w:szCs w:val="1"/>
                <w:color w:val="auto"/>
              </w:rPr>
            </w:pPr>
          </w:p>
        </w:tc>
      </w:tr>
      <w:tr>
        <w:trPr>
          <w:trHeight w:val="290"/>
        </w:trPr>
        <w:tc>
          <w:tcPr>
            <w:tcW w:w="2000" w:type="dxa"/>
            <w:vAlign w:val="bottom"/>
          </w:tcPr>
          <w:p>
            <w:pPr>
              <w:ind w:left="40"/>
              <w:spacing w:after="0"/>
              <w:rPr>
                <w:sz w:val="20"/>
                <w:szCs w:val="20"/>
                <w:color w:val="auto"/>
              </w:rPr>
            </w:pPr>
            <w:r>
              <w:rPr>
                <w:rFonts w:ascii="Arial" w:cs="Arial" w:eastAsia="Arial" w:hAnsi="Arial"/>
                <w:sz w:val="14"/>
                <w:szCs w:val="14"/>
                <w:color w:val="auto"/>
              </w:rPr>
              <w:t>Total</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2B4C9B"/>
            </w:tcBorders>
          </w:tcPr>
          <w:p>
            <w:pPr>
              <w:jc w:val="right"/>
              <w:ind w:right="108"/>
              <w:spacing w:after="0"/>
              <w:rPr>
                <w:sz w:val="20"/>
                <w:szCs w:val="20"/>
                <w:color w:val="auto"/>
              </w:rPr>
            </w:pPr>
            <w:r>
              <w:rPr>
                <w:rFonts w:ascii="Arial" w:cs="Arial" w:eastAsia="Arial" w:hAnsi="Arial"/>
                <w:sz w:val="14"/>
                <w:szCs w:val="14"/>
                <w:b w:val="1"/>
                <w:bCs w:val="1"/>
                <w:color w:val="2B4C9B"/>
              </w:rPr>
              <w:t>$</w:t>
            </w:r>
          </w:p>
        </w:tc>
        <w:tc>
          <w:tcPr>
            <w:tcW w:w="86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2,987,514</w:t>
            </w:r>
          </w:p>
        </w:tc>
        <w:tc>
          <w:tcPr>
            <w:tcW w:w="600" w:type="dxa"/>
            <w:vAlign w:val="bottom"/>
            <w:tcBorders>
              <w:bottom w:val="single" w:sz="8" w:color="2B4C9B"/>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color w:val="auto"/>
              </w:rPr>
              <w:t>2,405,913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10202"/>
        </w:rPr>
        <w:t>Common collective trusts are measured at fair value using NAV as a practical expedient and have not been categorized in the fair value hierarchy. The fair value amounts presented in the table are intended to permit reconciliation of the fair value hierarchy to the amounts presented in the Statements of Net Assets Available for Benefits. The Plan has no unfunded commitments to the common collective trusts, and there are no redemption restrictions.</w:t>
      </w:r>
    </w:p>
    <w:p>
      <w:pPr>
        <w:spacing w:after="0" w:line="29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2B4C9B"/>
        </w:rPr>
      </w:pPr>
      <w:r>
        <w:rPr>
          <w:rFonts w:ascii="Arial" w:cs="Arial" w:eastAsia="Arial" w:hAnsi="Arial"/>
          <w:sz w:val="18"/>
          <w:szCs w:val="18"/>
          <w:b w:val="1"/>
          <w:bCs w:val="1"/>
          <w:color w:val="2B4C9B"/>
        </w:rPr>
        <w:t>SUBSEQUENT EVENTS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preparing the accompanying financial statements, management of the Plan has evaluated all subsequent events and transactions for potential recognition or disclosure through June 23, 2020, the date the financial statements were available for issuance.</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January 1, 2020, the MSP was merged into the Plan as discussed in Note 1. The remaining MSP assets totaling approximately $1,060,531,000 were transferred into the Plan.</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World Health Organization (“WHO”) categorized Coronavirus Disease 2019 (“COVID-19”) as a pandemic. The COVID-19 pandemic has resulted in economic uncertainty and extreme volatility in financial markets, and may continue to affect the value of Plan assets. The duration and ultimate impact of COVID-19 is uncertain, and the resulting financial impact to the Plan cannot be reasonably estimated.</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WHO’s declaration, the U.S. Federal government passed the “Coronavirus Aid, Relief, and Economic Security (CARES) Act” on March 27, 2020. The CARES Act provides for various forms of relief for qualifying Plan participants including penalty-free distributions, increased limits for plan loans, suspension of loan payments for up to one year, and delaying required minimum distributions. The Plan has implemented these changes.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010202"/>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7 -</w:t>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SUPPLEMENTAL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FORM 5500, SCHEDULE H, PART IV, LINE 4i—SCHEDULE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AS OF DECEMBER 31, 2019</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Borders>
              <w:bottom w:val="single" w:sz="8" w:color="2B4C9B"/>
            </w:tcBorders>
          </w:tcPr>
          <w:p>
            <w:pPr>
              <w:spacing w:after="0"/>
              <w:rPr>
                <w:sz w:val="19"/>
                <w:szCs w:val="19"/>
                <w:color w:val="auto"/>
              </w:rPr>
            </w:pPr>
          </w:p>
        </w:tc>
        <w:tc>
          <w:tcPr>
            <w:tcW w:w="5380" w:type="dxa"/>
            <w:vAlign w:val="bottom"/>
            <w:tcBorders>
              <w:bottom w:val="single" w:sz="8" w:color="2B4C9B"/>
            </w:tcBorders>
          </w:tcPr>
          <w:p>
            <w:pPr>
              <w:spacing w:after="0"/>
              <w:rPr>
                <w:sz w:val="19"/>
                <w:szCs w:val="19"/>
                <w:color w:val="auto"/>
              </w:rPr>
            </w:pPr>
          </w:p>
        </w:tc>
        <w:tc>
          <w:tcPr>
            <w:tcW w:w="2980" w:type="dxa"/>
            <w:vAlign w:val="bottom"/>
            <w:tcBorders>
              <w:bottom w:val="single" w:sz="8" w:color="2B4C9B"/>
            </w:tcBorders>
          </w:tcPr>
          <w:p>
            <w:pPr>
              <w:ind w:left="480"/>
              <w:spacing w:after="0"/>
              <w:rPr>
                <w:sz w:val="20"/>
                <w:szCs w:val="20"/>
                <w:color w:val="auto"/>
              </w:rPr>
            </w:pPr>
            <w:r>
              <w:rPr>
                <w:rFonts w:ascii="Arial" w:cs="Arial" w:eastAsia="Arial" w:hAnsi="Arial"/>
                <w:sz w:val="16"/>
                <w:szCs w:val="16"/>
                <w:b w:val="1"/>
                <w:bCs w:val="1"/>
                <w:color w:val="auto"/>
              </w:rPr>
              <w:t>EIN: 30-6419427</w:t>
            </w:r>
          </w:p>
        </w:tc>
        <w:tc>
          <w:tcPr>
            <w:tcW w:w="1620" w:type="dxa"/>
            <w:vAlign w:val="bottom"/>
            <w:tcBorders>
              <w:bottom w:val="single" w:sz="8" w:color="2B4C9B"/>
            </w:tcBorders>
            <w:gridSpan w:val="2"/>
          </w:tcPr>
          <w:p>
            <w:pPr>
              <w:jc w:val="right"/>
              <w:ind w:right="599"/>
              <w:spacing w:after="0"/>
              <w:rPr>
                <w:sz w:val="20"/>
                <w:szCs w:val="20"/>
                <w:color w:val="auto"/>
              </w:rPr>
            </w:pPr>
            <w:r>
              <w:rPr>
                <w:rFonts w:ascii="Arial" w:cs="Arial" w:eastAsia="Arial" w:hAnsi="Arial"/>
                <w:sz w:val="16"/>
                <w:szCs w:val="16"/>
                <w:b w:val="1"/>
                <w:bCs w:val="1"/>
                <w:color w:val="auto"/>
              </w:rPr>
              <w:t>Plan #001</w:t>
            </w:r>
          </w:p>
        </w:tc>
        <w:tc>
          <w:tcPr>
            <w:tcW w:w="900" w:type="dxa"/>
            <w:vAlign w:val="bottom"/>
            <w:tcBorders>
              <w:bottom w:val="single" w:sz="8" w:color="2B4C9B"/>
            </w:tcBorders>
          </w:tcPr>
          <w:p>
            <w:pPr>
              <w:spacing w:after="0"/>
              <w:rPr>
                <w:sz w:val="19"/>
                <w:szCs w:val="19"/>
                <w:color w:val="auto"/>
              </w:rPr>
            </w:pPr>
          </w:p>
        </w:tc>
      </w:tr>
      <w:tr>
        <w:trPr>
          <w:trHeight w:val="198"/>
        </w:trPr>
        <w:tc>
          <w:tcPr>
            <w:tcW w:w="3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980" w:type="dxa"/>
            <w:vAlign w:val="bottom"/>
          </w:tcPr>
          <w:p>
            <w:pPr>
              <w:jc w:val="center"/>
              <w:ind w:left="319"/>
              <w:spacing w:after="0"/>
              <w:rPr>
                <w:sz w:val="20"/>
                <w:szCs w:val="20"/>
                <w:color w:val="auto"/>
              </w:rPr>
            </w:pPr>
            <w:r>
              <w:rPr>
                <w:rFonts w:ascii="Arial" w:cs="Arial" w:eastAsia="Arial" w:hAnsi="Arial"/>
                <w:sz w:val="16"/>
                <w:szCs w:val="16"/>
                <w:b w:val="1"/>
                <w:bCs w:val="1"/>
                <w:color w:val="auto"/>
              </w:rPr>
              <w:t>Description of Investment</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3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980" w:type="dxa"/>
            <w:vAlign w:val="bottom"/>
          </w:tcPr>
          <w:p>
            <w:pPr>
              <w:jc w:val="center"/>
              <w:ind w:left="319"/>
              <w:spacing w:after="0"/>
              <w:rPr>
                <w:sz w:val="20"/>
                <w:szCs w:val="20"/>
                <w:color w:val="auto"/>
              </w:rPr>
            </w:pPr>
            <w:r>
              <w:rPr>
                <w:rFonts w:ascii="Arial" w:cs="Arial" w:eastAsia="Arial" w:hAnsi="Arial"/>
                <w:sz w:val="16"/>
                <w:szCs w:val="16"/>
                <w:b w:val="1"/>
                <w:bCs w:val="1"/>
                <w:color w:val="auto"/>
              </w:rPr>
              <w:t>Including Maturity Date, Rate</w:t>
            </w: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8"/>
        </w:trPr>
        <w:tc>
          <w:tcPr>
            <w:tcW w:w="360" w:type="dxa"/>
            <w:vAlign w:val="bottom"/>
            <w:tcBorders>
              <w:bottom w:val="single" w:sz="8" w:color="2B4C9B"/>
            </w:tcBorders>
          </w:tcPr>
          <w:p>
            <w:pPr>
              <w:spacing w:after="0"/>
              <w:rPr>
                <w:sz w:val="19"/>
                <w:szCs w:val="19"/>
                <w:color w:val="auto"/>
              </w:rPr>
            </w:pPr>
          </w:p>
        </w:tc>
        <w:tc>
          <w:tcPr>
            <w:tcW w:w="5380" w:type="dxa"/>
            <w:vAlign w:val="bottom"/>
            <w:tcBorders>
              <w:bottom w:val="single" w:sz="8" w:color="2B4C9B"/>
            </w:tcBorders>
          </w:tcPr>
          <w:p>
            <w:pPr>
              <w:ind w:left="940"/>
              <w:spacing w:after="0"/>
              <w:rPr>
                <w:sz w:val="20"/>
                <w:szCs w:val="20"/>
                <w:color w:val="auto"/>
              </w:rPr>
            </w:pPr>
            <w:r>
              <w:rPr>
                <w:rFonts w:ascii="Arial" w:cs="Arial" w:eastAsia="Arial" w:hAnsi="Arial"/>
                <w:sz w:val="16"/>
                <w:szCs w:val="16"/>
                <w:b w:val="1"/>
                <w:bCs w:val="1"/>
                <w:color w:val="auto"/>
              </w:rPr>
              <w:t>Identity of Issue, Borrower, Lessor, or Similar Party</w:t>
            </w:r>
          </w:p>
        </w:tc>
        <w:tc>
          <w:tcPr>
            <w:tcW w:w="2980" w:type="dxa"/>
            <w:vAlign w:val="bottom"/>
            <w:tcBorders>
              <w:bottom w:val="single" w:sz="8" w:color="2B4C9B"/>
            </w:tcBorders>
          </w:tcPr>
          <w:p>
            <w:pPr>
              <w:jc w:val="center"/>
              <w:ind w:left="319"/>
              <w:spacing w:after="0"/>
              <w:rPr>
                <w:sz w:val="20"/>
                <w:szCs w:val="20"/>
                <w:color w:val="auto"/>
              </w:rPr>
            </w:pPr>
            <w:r>
              <w:rPr>
                <w:rFonts w:ascii="Arial" w:cs="Arial" w:eastAsia="Arial" w:hAnsi="Arial"/>
                <w:sz w:val="16"/>
                <w:szCs w:val="16"/>
                <w:b w:val="1"/>
                <w:bCs w:val="1"/>
                <w:color w:val="auto"/>
              </w:rPr>
              <w:t>of Interest and Collateral</w:t>
            </w:r>
          </w:p>
        </w:tc>
        <w:tc>
          <w:tcPr>
            <w:tcW w:w="800" w:type="dxa"/>
            <w:vAlign w:val="bottom"/>
            <w:tcBorders>
              <w:bottom w:val="single" w:sz="8" w:color="2B4C9B"/>
            </w:tcBorders>
          </w:tcPr>
          <w:p>
            <w:pPr>
              <w:jc w:val="center"/>
              <w:ind w:left="319"/>
              <w:spacing w:after="0"/>
              <w:rPr>
                <w:sz w:val="20"/>
                <w:szCs w:val="20"/>
                <w:color w:val="auto"/>
              </w:rPr>
            </w:pPr>
            <w:r>
              <w:rPr>
                <w:rFonts w:ascii="Arial" w:cs="Arial" w:eastAsia="Arial" w:hAnsi="Arial"/>
                <w:sz w:val="16"/>
                <w:szCs w:val="16"/>
                <w:b w:val="1"/>
                <w:bCs w:val="1"/>
                <w:color w:val="auto"/>
              </w:rPr>
              <w:t>Cost</w:t>
            </w:r>
          </w:p>
        </w:tc>
        <w:tc>
          <w:tcPr>
            <w:tcW w:w="1720" w:type="dxa"/>
            <w:vAlign w:val="bottom"/>
            <w:tcBorders>
              <w:bottom w:val="single" w:sz="8" w:color="2B4C9B"/>
            </w:tcBorders>
            <w:gridSpan w:val="2"/>
          </w:tcPr>
          <w:p>
            <w:pPr>
              <w:jc w:val="right"/>
              <w:ind w:right="19"/>
              <w:spacing w:after="0"/>
              <w:rPr>
                <w:sz w:val="20"/>
                <w:szCs w:val="20"/>
                <w:color w:val="auto"/>
              </w:rPr>
            </w:pPr>
            <w:r>
              <w:rPr>
                <w:rFonts w:ascii="Arial" w:cs="Arial" w:eastAsia="Arial" w:hAnsi="Arial"/>
                <w:sz w:val="16"/>
                <w:szCs w:val="16"/>
                <w:b w:val="1"/>
                <w:bCs w:val="1"/>
                <w:color w:val="auto"/>
              </w:rPr>
              <w:t>Current Value</w:t>
            </w:r>
          </w:p>
        </w:tc>
      </w:tr>
      <w:tr>
        <w:trPr>
          <w:trHeight w:val="237"/>
        </w:trPr>
        <w:tc>
          <w:tcPr>
            <w:tcW w:w="3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gridSpan w:val="2"/>
          </w:tcPr>
          <w:p>
            <w:pPr>
              <w:jc w:val="right"/>
              <w:ind w:right="579"/>
              <w:spacing w:after="0"/>
              <w:rPr>
                <w:sz w:val="20"/>
                <w:szCs w:val="20"/>
                <w:color w:val="auto"/>
              </w:rPr>
            </w:pPr>
            <w:r>
              <w:rPr>
                <w:rFonts w:ascii="Arial" w:cs="Arial" w:eastAsia="Arial" w:hAnsi="Arial"/>
                <w:sz w:val="16"/>
                <w:szCs w:val="16"/>
                <w:color w:val="auto"/>
              </w:rPr>
              <w:t>(in thousands)</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Science Applications International Corporation common stock</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Company Stock</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112,573</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DFA Emerging Markets Core Equity Port: Institutional Shares</w:t>
            </w:r>
          </w:p>
        </w:tc>
        <w:tc>
          <w:tcPr>
            <w:tcW w:w="2980" w:type="dxa"/>
            <w:vAlign w:val="bottom"/>
          </w:tcPr>
          <w:p>
            <w:pPr>
              <w:ind w:left="480"/>
              <w:spacing w:after="0"/>
              <w:rPr>
                <w:sz w:val="20"/>
                <w:szCs w:val="20"/>
                <w:color w:val="auto"/>
              </w:rPr>
            </w:pPr>
            <w:r>
              <w:rPr>
                <w:rFonts w:ascii="Arial" w:cs="Arial" w:eastAsia="Arial" w:hAnsi="Arial"/>
                <w:sz w:val="16"/>
                <w:szCs w:val="16"/>
                <w:color w:val="auto"/>
              </w:rPr>
              <w:t>Mutual Fund</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34,117</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Dodge &amp; Cox Stock Fund</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Mutual Fund</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198,771</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T. Rowe Price Institutional Mid Cap Equity Growth Fund</w:t>
            </w:r>
          </w:p>
        </w:tc>
        <w:tc>
          <w:tcPr>
            <w:tcW w:w="2980" w:type="dxa"/>
            <w:vAlign w:val="bottom"/>
          </w:tcPr>
          <w:p>
            <w:pPr>
              <w:ind w:left="480"/>
              <w:spacing w:after="0"/>
              <w:rPr>
                <w:sz w:val="20"/>
                <w:szCs w:val="20"/>
                <w:color w:val="auto"/>
              </w:rPr>
            </w:pPr>
            <w:r>
              <w:rPr>
                <w:rFonts w:ascii="Arial" w:cs="Arial" w:eastAsia="Arial" w:hAnsi="Arial"/>
                <w:sz w:val="16"/>
                <w:szCs w:val="16"/>
                <w:color w:val="auto"/>
              </w:rPr>
              <w:t>Mutual Fund</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157,487</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Vanguard FTSE All-World ex-US Index: Institutional Shares</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Mutual Fund</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93,627</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Vanguard Federal Money Market Fund</w:t>
            </w:r>
          </w:p>
        </w:tc>
        <w:tc>
          <w:tcPr>
            <w:tcW w:w="2980" w:type="dxa"/>
            <w:vAlign w:val="bottom"/>
          </w:tcPr>
          <w:p>
            <w:pPr>
              <w:ind w:left="480"/>
              <w:spacing w:after="0"/>
              <w:rPr>
                <w:sz w:val="20"/>
                <w:szCs w:val="20"/>
                <w:color w:val="auto"/>
              </w:rPr>
            </w:pPr>
            <w:r>
              <w:rPr>
                <w:rFonts w:ascii="Arial" w:cs="Arial" w:eastAsia="Arial" w:hAnsi="Arial"/>
                <w:sz w:val="16"/>
                <w:szCs w:val="16"/>
                <w:color w:val="auto"/>
              </w:rPr>
              <w:t>Mutual Fund</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152,101</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Vanguard International Growth Fund Admiral Shares</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Mutual Fund</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101,626</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Vanguard PRIMECAP Fund Admiral Shares</w:t>
            </w:r>
          </w:p>
        </w:tc>
        <w:tc>
          <w:tcPr>
            <w:tcW w:w="2980" w:type="dxa"/>
            <w:vAlign w:val="bottom"/>
          </w:tcPr>
          <w:p>
            <w:pPr>
              <w:ind w:left="480"/>
              <w:spacing w:after="0"/>
              <w:rPr>
                <w:sz w:val="20"/>
                <w:szCs w:val="20"/>
                <w:color w:val="auto"/>
              </w:rPr>
            </w:pPr>
            <w:r>
              <w:rPr>
                <w:rFonts w:ascii="Arial" w:cs="Arial" w:eastAsia="Arial" w:hAnsi="Arial"/>
                <w:sz w:val="16"/>
                <w:szCs w:val="16"/>
                <w:color w:val="auto"/>
              </w:rPr>
              <w:t>Mutual Fund</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184,782</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Vanguard Short-Term Bond Index Fund Institutional</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Mutual Fund</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34,063</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Loomis Sayles Core Plus Fixed Income Trust Class C</w:t>
            </w:r>
          </w:p>
        </w:tc>
        <w:tc>
          <w:tcPr>
            <w:tcW w:w="2980" w:type="dxa"/>
            <w:vAlign w:val="bottom"/>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55,604</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 Rowe Price U.S. Mid Cap-Value Equity Trust; D Class</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41,970</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Vanguard Institutional Extended Market Index Trust</w:t>
            </w:r>
          </w:p>
        </w:tc>
        <w:tc>
          <w:tcPr>
            <w:tcW w:w="2980" w:type="dxa"/>
            <w:vAlign w:val="bottom"/>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132,378</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Vanguard Institutional Total Bond Market Index Trust</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160,107</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Vanguard Institutional 500 Index Trust</w:t>
            </w:r>
          </w:p>
        </w:tc>
        <w:tc>
          <w:tcPr>
            <w:tcW w:w="2980" w:type="dxa"/>
            <w:vAlign w:val="bottom"/>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332,441</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Vanguard Target Retirement 2015 Trust Plus</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65,752</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Vanguard Target Retirement 2020 Trust Plus</w:t>
            </w:r>
          </w:p>
        </w:tc>
        <w:tc>
          <w:tcPr>
            <w:tcW w:w="2980" w:type="dxa"/>
            <w:vAlign w:val="bottom"/>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160,026</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Vanguard Target Retirement 2025 Trust Plus</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235,759</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Vanguard Target Retirement 2030 Trust Plus</w:t>
            </w:r>
          </w:p>
        </w:tc>
        <w:tc>
          <w:tcPr>
            <w:tcW w:w="2980" w:type="dxa"/>
            <w:vAlign w:val="bottom"/>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210,599</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Vanguard Target Retirement 2035 Trust Plus</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137,225</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Vanguard Target Retirement 2040 Trust Plus</w:t>
            </w:r>
          </w:p>
        </w:tc>
        <w:tc>
          <w:tcPr>
            <w:tcW w:w="2980" w:type="dxa"/>
            <w:vAlign w:val="bottom"/>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94,109</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Vanguard Target Retirement 2045 Trust Plus</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74,939</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Vanguard Target Retirement 2050 Trust Plus</w:t>
            </w:r>
          </w:p>
        </w:tc>
        <w:tc>
          <w:tcPr>
            <w:tcW w:w="2980" w:type="dxa"/>
            <w:vAlign w:val="bottom"/>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42,333</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Vanguard Target Retirement 2055 Trust Plus</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19,484</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Vanguard Target Retirement 2060 Trust Plus</w:t>
            </w:r>
          </w:p>
        </w:tc>
        <w:tc>
          <w:tcPr>
            <w:tcW w:w="2980" w:type="dxa"/>
            <w:vAlign w:val="bottom"/>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10,702</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Vanguard Target Retirement 2065 Trust Plus</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1,741</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Vanguard Target Retirement Income Trust Plus</w:t>
            </w:r>
          </w:p>
        </w:tc>
        <w:tc>
          <w:tcPr>
            <w:tcW w:w="2980" w:type="dxa"/>
            <w:vAlign w:val="bottom"/>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40,766</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Wellington Trust Small Cap 2000</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60,808</w:t>
            </w:r>
          </w:p>
        </w:tc>
      </w:tr>
      <w:tr>
        <w:trPr>
          <w:trHeight w:val="237"/>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Wellington Trust TIPS</w:t>
            </w:r>
          </w:p>
        </w:tc>
        <w:tc>
          <w:tcPr>
            <w:tcW w:w="2980" w:type="dxa"/>
            <w:vAlign w:val="bottom"/>
          </w:tcPr>
          <w:p>
            <w:pPr>
              <w:ind w:left="480"/>
              <w:spacing w:after="0"/>
              <w:rPr>
                <w:sz w:val="20"/>
                <w:szCs w:val="20"/>
                <w:color w:val="auto"/>
              </w:rPr>
            </w:pPr>
            <w:r>
              <w:rPr>
                <w:rFonts w:ascii="Arial" w:cs="Arial" w:eastAsia="Arial" w:hAnsi="Arial"/>
                <w:sz w:val="16"/>
                <w:szCs w:val="16"/>
                <w:color w:val="auto"/>
              </w:rPr>
              <w:t>Common Collective Trust</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9,215</w:t>
            </w:r>
          </w:p>
        </w:tc>
      </w:tr>
      <w:tr>
        <w:trPr>
          <w:trHeight w:val="33"/>
        </w:trPr>
        <w:tc>
          <w:tcPr>
            <w:tcW w:w="3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Self-Directed Brokerage Fund</w:t>
            </w:r>
          </w:p>
        </w:tc>
        <w:tc>
          <w:tcPr>
            <w:tcW w:w="2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Various</w:t>
            </w:r>
          </w:p>
        </w:tc>
        <w:tc>
          <w:tcPr>
            <w:tcW w:w="80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32,409</w:t>
            </w:r>
          </w:p>
        </w:tc>
      </w:tr>
      <w:tr>
        <w:trPr>
          <w:trHeight w:val="218"/>
        </w:trPr>
        <w:tc>
          <w:tcPr>
            <w:tcW w:w="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380" w:type="dxa"/>
            <w:vAlign w:val="bottom"/>
          </w:tcPr>
          <w:p>
            <w:pPr>
              <w:ind w:left="240"/>
              <w:spacing w:after="0"/>
              <w:rPr>
                <w:sz w:val="20"/>
                <w:szCs w:val="20"/>
                <w:color w:val="auto"/>
              </w:rPr>
            </w:pPr>
            <w:r>
              <w:rPr>
                <w:rFonts w:ascii="Arial" w:cs="Arial" w:eastAsia="Arial" w:hAnsi="Arial"/>
                <w:sz w:val="16"/>
                <w:szCs w:val="16"/>
                <w:color w:val="auto"/>
              </w:rPr>
              <w:t>Notes Receivable from Participants</w:t>
            </w:r>
          </w:p>
        </w:tc>
        <w:tc>
          <w:tcPr>
            <w:tcW w:w="2980" w:type="dxa"/>
            <w:vAlign w:val="bottom"/>
          </w:tcPr>
          <w:p>
            <w:pPr>
              <w:ind w:left="480"/>
              <w:spacing w:after="0"/>
              <w:rPr>
                <w:sz w:val="20"/>
                <w:szCs w:val="20"/>
                <w:color w:val="auto"/>
              </w:rPr>
            </w:pPr>
            <w:r>
              <w:rPr>
                <w:rFonts w:ascii="Arial" w:cs="Arial" w:eastAsia="Arial" w:hAnsi="Arial"/>
                <w:sz w:val="16"/>
                <w:szCs w:val="16"/>
                <w:color w:val="auto"/>
              </w:rPr>
              <w:t>Loans/Interest rates from 4.25%</w:t>
            </w:r>
          </w:p>
        </w:tc>
        <w:tc>
          <w:tcPr>
            <w:tcW w:w="80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23,515</w:t>
            </w:r>
          </w:p>
        </w:tc>
      </w:tr>
      <w:tr>
        <w:trPr>
          <w:trHeight w:val="189"/>
        </w:trPr>
        <w:tc>
          <w:tcPr>
            <w:tcW w:w="3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980" w:type="dxa"/>
            <w:vAlign w:val="bottom"/>
          </w:tcPr>
          <w:p>
            <w:pPr>
              <w:ind w:left="640"/>
              <w:spacing w:after="0"/>
              <w:rPr>
                <w:sz w:val="20"/>
                <w:szCs w:val="20"/>
                <w:color w:val="auto"/>
              </w:rPr>
            </w:pPr>
            <w:r>
              <w:rPr>
                <w:rFonts w:ascii="Arial" w:cs="Arial" w:eastAsia="Arial" w:hAnsi="Arial"/>
                <w:sz w:val="16"/>
                <w:szCs w:val="16"/>
                <w:color w:val="auto"/>
              </w:rPr>
              <w:t>to 9.25%; maturities from</w:t>
            </w: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3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980" w:type="dxa"/>
            <w:vAlign w:val="bottom"/>
          </w:tcPr>
          <w:p>
            <w:pPr>
              <w:ind w:left="640"/>
              <w:spacing w:after="0"/>
              <w:rPr>
                <w:sz w:val="20"/>
                <w:szCs w:val="20"/>
                <w:color w:val="auto"/>
              </w:rPr>
            </w:pPr>
            <w:r>
              <w:rPr>
                <w:rFonts w:ascii="Arial" w:cs="Arial" w:eastAsia="Arial" w:hAnsi="Arial"/>
                <w:sz w:val="16"/>
                <w:szCs w:val="16"/>
                <w:color w:val="auto"/>
              </w:rPr>
              <w:t>January 2020 to November</w:t>
            </w: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5"/>
        </w:trPr>
        <w:tc>
          <w:tcPr>
            <w:tcW w:w="3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980" w:type="dxa"/>
            <w:vAlign w:val="bottom"/>
          </w:tcPr>
          <w:p>
            <w:pPr>
              <w:ind w:left="640"/>
              <w:spacing w:after="0"/>
              <w:rPr>
                <w:sz w:val="20"/>
                <w:szCs w:val="20"/>
                <w:color w:val="auto"/>
              </w:rPr>
            </w:pPr>
            <w:r>
              <w:rPr>
                <w:rFonts w:ascii="Arial" w:cs="Arial" w:eastAsia="Arial" w:hAnsi="Arial"/>
                <w:sz w:val="16"/>
                <w:szCs w:val="16"/>
                <w:color w:val="auto"/>
              </w:rPr>
              <w:t>2049</w:t>
            </w: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5" w:lineRule="exact"/>
        <w:rPr>
          <w:sz w:val="20"/>
          <w:szCs w:val="20"/>
          <w:color w:val="auto"/>
        </w:rPr>
      </w:pPr>
    </w:p>
    <w:p>
      <w:pPr>
        <w:ind w:left="600" w:hanging="565"/>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Indicates party-in-interest to the Plan</w:t>
      </w:r>
    </w:p>
    <w:p>
      <w:pPr>
        <w:spacing w:after="0" w:line="73" w:lineRule="exact"/>
        <w:rPr>
          <w:sz w:val="20"/>
          <w:szCs w:val="20"/>
          <w:color w:val="auto"/>
        </w:rPr>
      </w:pPr>
    </w:p>
    <w:p>
      <w:pPr>
        <w:ind w:left="600" w:hanging="565"/>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 applicable - Historical cost information is not required to be presented, as all investments are participant-directed.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580" w:hanging="121"/>
        <w:spacing w:after="0"/>
        <w:tabs>
          <w:tab w:leader="none" w:pos="5580" w:val="left"/>
        </w:tabs>
        <w:numPr>
          <w:ilvl w:val="1"/>
          <w:numId w:val="9"/>
        </w:numPr>
        <w:rPr>
          <w:rFonts w:ascii="Arial" w:cs="Arial" w:eastAsia="Arial" w:hAnsi="Arial"/>
          <w:sz w:val="20"/>
          <w:szCs w:val="20"/>
          <w:color w:val="2B4C9B"/>
        </w:rPr>
      </w:pPr>
      <w:r>
        <w:rPr>
          <w:rFonts w:ascii="Arial" w:cs="Arial" w:eastAsia="Arial" w:hAnsi="Arial"/>
          <w:sz w:val="18"/>
          <w:szCs w:val="18"/>
          <w:color w:val="2B4C9B"/>
        </w:rPr>
        <w:t>8 -</w:t>
      </w:r>
    </w:p>
    <w:p>
      <w:pPr>
        <w:sectPr>
          <w:pgSz w:w="11900" w:h="16838" w:orient="portrait"/>
          <w:cols w:equalWidth="0" w:num="1">
            <w:col w:w="11240"/>
          </w:cols>
          <w:pgMar w:left="320" w:top="562"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2B4C9B"/>
        </w:rPr>
        <w:t>SIGNATURE</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Science Applications International Corporation Benefit Plans Committee has duly caused this annual report to be signed on its behalf by the undersigned hereunto duly authorized.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By: Science Applications International Corporation Benefit Plans Committee</w:t>
      </w:r>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7560" w:val="left"/>
        </w:tabs>
        <w:rPr>
          <w:sz w:val="20"/>
          <w:szCs w:val="20"/>
          <w:color w:val="auto"/>
        </w:rPr>
      </w:pPr>
      <w:r>
        <w:rPr>
          <w:rFonts w:ascii="Arial" w:cs="Arial" w:eastAsia="Arial" w:hAnsi="Arial"/>
          <w:sz w:val="18"/>
          <w:szCs w:val="18"/>
          <w:color w:val="auto"/>
        </w:rPr>
        <w:t>Date: June 23, 2020</w:t>
      </w:r>
      <w:r>
        <w:rPr>
          <w:sz w:val="20"/>
          <w:szCs w:val="20"/>
          <w:color w:val="auto"/>
        </w:rPr>
        <w:tab/>
      </w:r>
      <w:r>
        <w:rPr>
          <w:rFonts w:ascii="Arial" w:cs="Arial" w:eastAsia="Arial" w:hAnsi="Arial"/>
          <w:sz w:val="17"/>
          <w:szCs w:val="17"/>
          <w:color w:val="auto"/>
        </w:rPr>
        <w:t>/s/ Paul C. Lehrer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71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1"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Paul C. Lehrer</w:t>
      </w:r>
    </w:p>
    <w:p>
      <w:pPr>
        <w:spacing w:after="0" w:line="63"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Authorized Official</w:t>
      </w:r>
    </w:p>
    <w:p>
      <w:pPr>
        <w:spacing w:after="0" w:line="63"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9 -</w:t>
      </w:r>
    </w:p>
    <w:p>
      <w:pPr>
        <w:sectPr>
          <w:pgSz w:w="11900" w:h="16838" w:orient="portrait"/>
          <w:cols w:equalWidth="0" w:num="1">
            <w:col w:w="11240"/>
          </w:cols>
          <w:pgMar w:left="320" w:top="562" w:right="339" w:bottom="1440" w:gutter="0" w:footer="0" w:header="0"/>
        </w:sectPr>
      </w:pPr>
    </w:p>
    <w:bookmarkStart w:id="11" w:name="page12"/>
    <w:bookmarkEnd w:id="11"/>
    <w:p>
      <w:pPr>
        <w:jc w:val="right"/>
        <w:ind w:right="3959"/>
        <w:spacing w:after="0"/>
        <w:rPr>
          <w:sz w:val="20"/>
          <w:szCs w:val="20"/>
          <w:color w:val="auto"/>
        </w:rPr>
      </w:pPr>
      <w:r>
        <w:rPr>
          <w:rFonts w:ascii="Arial" w:cs="Arial" w:eastAsia="Arial" w:hAnsi="Arial"/>
          <w:sz w:val="18"/>
          <w:szCs w:val="18"/>
          <w:b w:val="1"/>
          <w:bCs w:val="1"/>
          <w:color w:val="2B4C9B"/>
        </w:rPr>
        <w:t>Exhibit Index</w:t>
      </w: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2B4C9B"/>
        </w:rPr>
        <w:t>Exhibit No.</w:t>
      </w:r>
      <w:r>
        <w:rPr>
          <w:sz w:val="20"/>
          <w:szCs w:val="20"/>
          <w:color w:val="auto"/>
        </w:rPr>
        <w:tab/>
      </w:r>
      <w:r>
        <w:rPr>
          <w:rFonts w:ascii="Arial" w:cs="Arial" w:eastAsia="Arial" w:hAnsi="Arial"/>
          <w:sz w:val="17"/>
          <w:szCs w:val="17"/>
          <w:b w:val="1"/>
          <w:bCs w:val="1"/>
          <w:color w:val="2B4C9B"/>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28575</wp:posOffset>
            </wp:positionV>
            <wp:extent cx="7046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ind w:left="280"/>
        <w:spacing w:after="0"/>
        <w:tabs>
          <w:tab w:leader="none" w:pos="1200" w:val="left"/>
        </w:tabs>
        <w:rPr>
          <w:rFonts w:ascii="Arial" w:cs="Arial" w:eastAsia="Arial" w:hAnsi="Arial"/>
          <w:sz w:val="18"/>
          <w:szCs w:val="18"/>
          <w:u w:val="single" w:color="auto"/>
          <w:color w:val="2B4C9B"/>
        </w:rPr>
      </w:pPr>
      <w:hyperlink w:anchor="page13">
        <w:r>
          <w:rPr>
            <w:rFonts w:ascii="Arial" w:cs="Arial" w:eastAsia="Arial" w:hAnsi="Arial"/>
            <w:sz w:val="18"/>
            <w:szCs w:val="18"/>
            <w:u w:val="single" w:color="auto"/>
            <w:color w:val="2B4C9B"/>
          </w:rPr>
          <w:t>23.1</w:t>
        </w:r>
      </w:hyperlink>
      <w:r>
        <w:rPr>
          <w:rFonts w:ascii="Arial" w:cs="Arial" w:eastAsia="Arial" w:hAnsi="Arial"/>
          <w:sz w:val="18"/>
          <w:szCs w:val="18"/>
          <w:u w:val="single" w:color="auto"/>
          <w:color w:val="2B4C9B"/>
        </w:rPr>
        <w:tab/>
      </w:r>
      <w:hyperlink w:anchor="page13">
        <w:r>
          <w:rPr>
            <w:rFonts w:ascii="Arial" w:cs="Arial" w:eastAsia="Arial" w:hAnsi="Arial"/>
            <w:sz w:val="18"/>
            <w:szCs w:val="18"/>
            <w:u w:val="single" w:color="auto"/>
            <w:color w:val="2B4C9B"/>
          </w:rPr>
          <w:t>Consent of Independent Registered Public Accounting Firm</w:t>
        </w:r>
      </w:hyperlink>
    </w:p>
    <w:p>
      <w:pPr>
        <w:spacing w:after="0" w:line="200" w:lineRule="exact"/>
        <w:rPr>
          <w:sz w:val="20"/>
          <w:szCs w:val="20"/>
          <w:color w:val="auto"/>
        </w:rPr>
      </w:pPr>
    </w:p>
    <w:p>
      <w:pPr>
        <w:spacing w:after="0" w:line="252" w:lineRule="exact"/>
        <w:rPr>
          <w:sz w:val="20"/>
          <w:szCs w:val="20"/>
          <w:color w:val="auto"/>
        </w:rPr>
      </w:pPr>
    </w:p>
    <w:p>
      <w:pPr>
        <w:ind w:left="5180"/>
        <w:spacing w:after="0"/>
        <w:rPr>
          <w:sz w:val="20"/>
          <w:szCs w:val="20"/>
          <w:color w:val="auto"/>
        </w:rPr>
      </w:pPr>
      <w:r>
        <w:rPr>
          <w:rFonts w:ascii="Arial" w:cs="Arial" w:eastAsia="Arial" w:hAnsi="Arial"/>
          <w:sz w:val="20"/>
          <w:szCs w:val="20"/>
          <w:color w:val="2B4C9B"/>
        </w:rPr>
        <w:t>-</w:t>
      </w:r>
      <w:r>
        <w:rPr>
          <w:rFonts w:ascii="Arial" w:cs="Arial" w:eastAsia="Arial" w:hAnsi="Arial"/>
          <w:sz w:val="17"/>
          <w:szCs w:val="17"/>
          <w:color w:val="2B4C9B"/>
        </w:rPr>
        <w:t>10-</w:t>
      </w:r>
    </w:p>
    <w:p>
      <w:pPr>
        <w:sectPr>
          <w:pgSz w:w="11900" w:h="16838" w:orient="portrait"/>
          <w:cols w:equalWidth="0" w:num="1">
            <w:col w:w="9919"/>
          </w:cols>
          <w:pgMar w:left="540" w:top="562"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010202"/>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202"/>
        </w:rPr>
        <w:t>CONSENT OF INDEPENDENT REGISTERED PUBLIC ACCOUNTING FIRM</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010202"/>
        </w:rPr>
        <w:t>We consent to the incorporation by reference in the Registration Statement No. 333-191436 and Registration Statement No.333-203222 on Form S-8 of Science Applications International Corporation Retirement Plan of our report dated June 23, 2020, with respect to the statements of net assets available for benefits of Science Applications International Corporation Retirement Plan as of December 31, 2019 and 2018, the related statements of changes in net assets available for benefits for the years then ended, and the related supplemental schedule as of December 31, 2019, which report appears in the December 31, 2019 annual report on Form 11-K of Science Applications International Corporation Retirement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010202"/>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10202"/>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10202"/>
        </w:rPr>
        <w:t>June 23, 2020</w:t>
      </w:r>
    </w:p>
    <w:sectPr>
      <w:pgSz w:w="11900" w:h="16838" w:orient="portrait"/>
      <w:cols w:equalWidth="0" w:num="1">
        <w:col w:w="11240"/>
      </w:cols>
      <w:pgMar w:left="320" w:top="5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2"/>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2020-06-23T15:17:12Z</dcterms:created>
  <dcterms:modified xsi:type="dcterms:W3CDTF">2020-06-23T15:17:12Z</dcterms:modified>
</cp:coreProperties>
</file>